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8314D" w14:textId="77777777" w:rsidR="001B6CD1" w:rsidRPr="00781770" w:rsidRDefault="001B6CD1">
      <w:pPr>
        <w:rPr>
          <w:rFonts w:ascii="Arial" w:hAnsi="Arial" w:cs="Arial"/>
          <w:sz w:val="32"/>
          <w:szCs w:val="32"/>
        </w:rPr>
      </w:pPr>
    </w:p>
    <w:p w14:paraId="231E0305" w14:textId="77777777" w:rsidR="00781770" w:rsidRDefault="00781770" w:rsidP="00781770">
      <w:pPr>
        <w:pStyle w:val="NormalWeb"/>
        <w:rPr>
          <w:rStyle w:val="Strong"/>
          <w:rFonts w:ascii="Arial" w:hAnsi="Arial" w:cs="Arial"/>
          <w:color w:val="00B0F0"/>
          <w:sz w:val="48"/>
          <w:szCs w:val="48"/>
        </w:rPr>
      </w:pPr>
    </w:p>
    <w:p w14:paraId="67EAD8DC" w14:textId="77777777" w:rsidR="00781770" w:rsidRDefault="00781770" w:rsidP="00781770">
      <w:pPr>
        <w:pStyle w:val="NormalWeb"/>
        <w:rPr>
          <w:rStyle w:val="Strong"/>
          <w:rFonts w:ascii="Arial" w:hAnsi="Arial" w:cs="Arial"/>
          <w:color w:val="00B0F0"/>
          <w:sz w:val="48"/>
          <w:szCs w:val="48"/>
        </w:rPr>
      </w:pPr>
    </w:p>
    <w:p w14:paraId="6E7BCCC7" w14:textId="77777777" w:rsidR="00781770" w:rsidRDefault="00781770" w:rsidP="00781770">
      <w:pPr>
        <w:pStyle w:val="NormalWeb"/>
        <w:rPr>
          <w:rStyle w:val="Strong"/>
          <w:rFonts w:ascii="Arial" w:hAnsi="Arial" w:cs="Arial"/>
          <w:color w:val="00B0F0"/>
          <w:sz w:val="48"/>
          <w:szCs w:val="48"/>
        </w:rPr>
      </w:pPr>
    </w:p>
    <w:p w14:paraId="2B1FAD1D" w14:textId="77777777" w:rsidR="00781770" w:rsidRDefault="00781770" w:rsidP="00781770">
      <w:pPr>
        <w:pStyle w:val="NormalWeb"/>
        <w:rPr>
          <w:rStyle w:val="Strong"/>
          <w:rFonts w:ascii="Arial" w:hAnsi="Arial" w:cs="Arial"/>
          <w:color w:val="00B0F0"/>
          <w:sz w:val="48"/>
          <w:szCs w:val="48"/>
        </w:rPr>
      </w:pPr>
    </w:p>
    <w:p w14:paraId="4C30B825" w14:textId="77777777" w:rsidR="00781770" w:rsidRDefault="00781770" w:rsidP="00781770">
      <w:pPr>
        <w:pStyle w:val="NormalWeb"/>
        <w:rPr>
          <w:rStyle w:val="Strong"/>
          <w:rFonts w:ascii="Arial" w:hAnsi="Arial" w:cs="Arial"/>
          <w:color w:val="00B0F0"/>
          <w:sz w:val="48"/>
          <w:szCs w:val="48"/>
        </w:rPr>
      </w:pPr>
    </w:p>
    <w:p w14:paraId="3225F5CD" w14:textId="3BFB9048" w:rsidR="00781770" w:rsidRDefault="00781770" w:rsidP="00781770">
      <w:pPr>
        <w:pStyle w:val="NormalWeb"/>
        <w:rPr>
          <w:rStyle w:val="Strong"/>
          <w:rFonts w:ascii="Arial" w:hAnsi="Arial" w:cs="Arial"/>
          <w:color w:val="00B0F0"/>
          <w:sz w:val="48"/>
          <w:szCs w:val="48"/>
        </w:rPr>
      </w:pPr>
      <w:r w:rsidRPr="00781770">
        <w:rPr>
          <w:rStyle w:val="Strong"/>
          <w:rFonts w:ascii="Arial" w:hAnsi="Arial" w:cs="Arial"/>
          <w:color w:val="00B0F0"/>
          <w:sz w:val="48"/>
          <w:szCs w:val="48"/>
        </w:rPr>
        <w:t>L'AUDIT INTERNE AU SEIN DU GOUVERNEMENT ET DU SECTEUR PUBLIC</w:t>
      </w:r>
    </w:p>
    <w:p w14:paraId="31A636AE" w14:textId="77777777" w:rsidR="00781770" w:rsidRPr="00781770" w:rsidRDefault="00781770" w:rsidP="00781770">
      <w:pPr>
        <w:pStyle w:val="NormalWeb"/>
        <w:rPr>
          <w:rFonts w:ascii="Arial" w:hAnsi="Arial" w:cs="Arial"/>
          <w:color w:val="00B0F0"/>
          <w:sz w:val="48"/>
          <w:szCs w:val="48"/>
        </w:rPr>
      </w:pPr>
    </w:p>
    <w:p w14:paraId="52CA5927" w14:textId="77777777" w:rsidR="00781770" w:rsidRPr="00E001D8" w:rsidRDefault="00781770" w:rsidP="00781770">
      <w:pPr>
        <w:rPr>
          <w:rFonts w:ascii="Arial" w:eastAsia="Times New Roman" w:hAnsi="Arial" w:cs="Arial"/>
          <w:b/>
          <w:bCs/>
          <w:kern w:val="36"/>
          <w:sz w:val="28"/>
          <w:szCs w:val="28"/>
          <w14:ligatures w14:val="none"/>
        </w:rPr>
      </w:pPr>
      <w:r w:rsidRPr="00E001D8">
        <w:rPr>
          <w:rFonts w:ascii="Arial" w:eastAsia="Times New Roman" w:hAnsi="Arial" w:cs="Arial"/>
          <w:b/>
          <w:bCs/>
          <w:color w:val="70AD47" w:themeColor="accent6"/>
          <w:kern w:val="36"/>
          <w:sz w:val="28"/>
          <w:szCs w:val="28"/>
          <w14:ligatures w14:val="none"/>
        </w:rPr>
        <w:t>AN IIA GLOBAL PUBLIC POLICY POSITION PAPER</w:t>
      </w:r>
      <w:r w:rsidRPr="00E001D8">
        <w:rPr>
          <w:rFonts w:ascii="Arial" w:eastAsia="Times New Roman" w:hAnsi="Arial" w:cs="Arial"/>
          <w:b/>
          <w:bCs/>
          <w:kern w:val="36"/>
          <w:sz w:val="28"/>
          <w:szCs w:val="28"/>
          <w14:ligatures w14:val="none"/>
        </w:rPr>
        <w:br w:type="page"/>
      </w:r>
    </w:p>
    <w:p w14:paraId="6605D049" w14:textId="77777777" w:rsidR="00781770" w:rsidRPr="00781770" w:rsidRDefault="00781770" w:rsidP="00781770">
      <w:pPr>
        <w:spacing w:before="100" w:beforeAutospacing="1" w:after="100" w:afterAutospacing="1" w:line="240" w:lineRule="auto"/>
        <w:outlineLvl w:val="0"/>
        <w:rPr>
          <w:rFonts w:ascii="Arial" w:eastAsia="Times New Roman" w:hAnsi="Arial" w:cs="Arial"/>
          <w:b/>
          <w:bCs/>
          <w:i/>
          <w:iCs/>
          <w:color w:val="70AD47" w:themeColor="accent6"/>
          <w:kern w:val="36"/>
          <w:sz w:val="28"/>
          <w:szCs w:val="28"/>
          <w14:ligatures w14:val="none"/>
        </w:rPr>
      </w:pPr>
      <w:r w:rsidRPr="00781770">
        <w:rPr>
          <w:rFonts w:ascii="Arial" w:eastAsia="Times New Roman" w:hAnsi="Arial" w:cs="Arial"/>
          <w:b/>
          <w:bCs/>
          <w:i/>
          <w:iCs/>
          <w:color w:val="70AD47" w:themeColor="accent6"/>
          <w:kern w:val="36"/>
          <w:sz w:val="28"/>
          <w:szCs w:val="28"/>
          <w14:ligatures w14:val="none"/>
        </w:rPr>
        <w:lastRenderedPageBreak/>
        <w:t>Table des matières</w:t>
      </w:r>
    </w:p>
    <w:p w14:paraId="08145EA2" w14:textId="64D15178" w:rsidR="00781770" w:rsidRPr="00781770" w:rsidRDefault="00781770" w:rsidP="00781770">
      <w:pPr>
        <w:spacing w:before="100" w:beforeAutospacing="1" w:after="100" w:afterAutospacing="1" w:line="240" w:lineRule="auto"/>
        <w:outlineLvl w:val="1"/>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VUE D’ENSEMBLE</w:t>
      </w:r>
    </w:p>
    <w:p w14:paraId="107F25BA" w14:textId="7364D241" w:rsidR="00781770" w:rsidRPr="00781770" w:rsidRDefault="00781770" w:rsidP="00781770">
      <w:pPr>
        <w:numPr>
          <w:ilvl w:val="0"/>
          <w:numId w:val="26"/>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Résumé </w:t>
      </w:r>
      <w:r>
        <w:rPr>
          <w:rFonts w:ascii="Arial" w:eastAsia="Times New Roman" w:hAnsi="Arial" w:cs="Arial"/>
          <w:kern w:val="0"/>
          <w:sz w:val="20"/>
          <w:szCs w:val="20"/>
          <w14:ligatures w14:val="none"/>
        </w:rPr>
        <w:t>analytique</w:t>
      </w:r>
    </w:p>
    <w:p w14:paraId="78D6FEDF" w14:textId="77777777" w:rsidR="00781770" w:rsidRPr="00781770" w:rsidRDefault="00781770" w:rsidP="00781770">
      <w:pPr>
        <w:numPr>
          <w:ilvl w:val="0"/>
          <w:numId w:val="26"/>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Principes directeurs en matière de politiques publiques </w:t>
      </w:r>
    </w:p>
    <w:p w14:paraId="24D75AD2" w14:textId="701BA36B" w:rsidR="00FB33EF" w:rsidRPr="00FB33EF" w:rsidRDefault="00781770" w:rsidP="00FB33EF">
      <w:pPr>
        <w:numPr>
          <w:ilvl w:val="0"/>
          <w:numId w:val="26"/>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Définitions clés, </w:t>
      </w:r>
      <w:r w:rsidR="00FB33EF">
        <w:rPr>
          <w:rFonts w:ascii="Arial" w:eastAsia="Times New Roman" w:hAnsi="Arial" w:cs="Arial"/>
          <w:kern w:val="0"/>
          <w:sz w:val="20"/>
          <w:szCs w:val="20"/>
          <w14:ligatures w14:val="none"/>
        </w:rPr>
        <w:t>relations importantes avec les parties prenantes et principaux défis auxquels sont confrontés les auditeurs internes du secteur public</w:t>
      </w:r>
      <w:r w:rsidRPr="00781770">
        <w:rPr>
          <w:rFonts w:ascii="Arial" w:eastAsia="Times New Roman" w:hAnsi="Arial" w:cs="Arial"/>
          <w:kern w:val="0"/>
          <w:sz w:val="20"/>
          <w:szCs w:val="20"/>
          <w14:ligatures w14:val="none"/>
        </w:rPr>
        <w:t xml:space="preserve"> </w:t>
      </w:r>
    </w:p>
    <w:p w14:paraId="7C9D0BE9" w14:textId="182C7587" w:rsidR="00781770" w:rsidRPr="00781770" w:rsidRDefault="00781770" w:rsidP="00781770">
      <w:pPr>
        <w:spacing w:before="100" w:beforeAutospacing="1" w:after="100" w:afterAutospacing="1" w:line="240" w:lineRule="auto"/>
        <w:outlineLvl w:val="1"/>
        <w:rPr>
          <w:rFonts w:ascii="Arial" w:eastAsia="Times New Roman" w:hAnsi="Arial" w:cs="Arial"/>
          <w:b/>
          <w:bCs/>
          <w:kern w:val="0"/>
          <w:sz w:val="20"/>
          <w:szCs w:val="20"/>
          <w14:ligatures w14:val="none"/>
        </w:rPr>
      </w:pPr>
      <w:r w:rsidRPr="00781770">
        <w:rPr>
          <w:rFonts w:ascii="Arial" w:eastAsia="Times New Roman" w:hAnsi="Arial" w:cs="Arial"/>
          <w:b/>
          <w:bCs/>
          <w:kern w:val="0"/>
          <w:sz w:val="20"/>
          <w:szCs w:val="20"/>
          <w14:ligatures w14:val="none"/>
        </w:rPr>
        <w:t xml:space="preserve">RECOMMANDATIONS </w:t>
      </w:r>
      <w:r>
        <w:rPr>
          <w:rFonts w:ascii="Arial" w:eastAsia="Times New Roman" w:hAnsi="Arial" w:cs="Arial"/>
          <w:b/>
          <w:bCs/>
          <w:kern w:val="0"/>
          <w:sz w:val="20"/>
          <w:szCs w:val="20"/>
          <w14:ligatures w14:val="none"/>
        </w:rPr>
        <w:t xml:space="preserve">RELATIVES AUX </w:t>
      </w:r>
      <w:r w:rsidRPr="00781770">
        <w:rPr>
          <w:rFonts w:ascii="Arial" w:eastAsia="Times New Roman" w:hAnsi="Arial" w:cs="Arial"/>
          <w:b/>
          <w:bCs/>
          <w:kern w:val="0"/>
          <w:sz w:val="20"/>
          <w:szCs w:val="20"/>
          <w14:ligatures w14:val="none"/>
        </w:rPr>
        <w:t>POLITIQUES PUBLIQUES ESSENTIELLES</w:t>
      </w:r>
    </w:p>
    <w:p w14:paraId="5BDD3F85" w14:textId="56CA8CAF" w:rsidR="00781770" w:rsidRPr="00FB33EF" w:rsidRDefault="00781770" w:rsidP="00781770">
      <w:pPr>
        <w:numPr>
          <w:ilvl w:val="0"/>
          <w:numId w:val="27"/>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Définir l'audit interne dans la loi et établir des fonctions d'audit interne robustes, indépendantes et dotées des ressources nécessaires dans l'ensemble d</w:t>
      </w:r>
      <w:r>
        <w:rPr>
          <w:rFonts w:ascii="Arial" w:eastAsia="Times New Roman" w:hAnsi="Arial" w:cs="Arial"/>
          <w:kern w:val="0"/>
          <w:sz w:val="20"/>
          <w:szCs w:val="20"/>
          <w14:ligatures w14:val="none"/>
        </w:rPr>
        <w:t>e l’administration publique</w:t>
      </w:r>
    </w:p>
    <w:p w14:paraId="16EEADE0" w14:textId="461346C9" w:rsidR="00781770" w:rsidRPr="00781770" w:rsidRDefault="00781770" w:rsidP="00781770">
      <w:pPr>
        <w:numPr>
          <w:ilvl w:val="0"/>
          <w:numId w:val="27"/>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Assurer une gouvernance appropriée, des liens hiérarchiques a</w:t>
      </w:r>
      <w:r w:rsidR="00FB33EF">
        <w:rPr>
          <w:rFonts w:ascii="Arial" w:eastAsia="Times New Roman" w:hAnsi="Arial" w:cs="Arial"/>
          <w:kern w:val="0"/>
          <w:sz w:val="20"/>
          <w:szCs w:val="20"/>
          <w14:ligatures w14:val="none"/>
        </w:rPr>
        <w:t>déquats</w:t>
      </w:r>
      <w:r w:rsidRPr="00781770">
        <w:rPr>
          <w:rFonts w:ascii="Arial" w:eastAsia="Times New Roman" w:hAnsi="Arial" w:cs="Arial"/>
          <w:kern w:val="0"/>
          <w:sz w:val="20"/>
          <w:szCs w:val="20"/>
          <w14:ligatures w14:val="none"/>
        </w:rPr>
        <w:t xml:space="preserve">, un positionnement organisationnel approprié et une supervision </w:t>
      </w:r>
      <w:r w:rsidR="00FB33EF">
        <w:rPr>
          <w:rFonts w:ascii="Arial" w:eastAsia="Times New Roman" w:hAnsi="Arial" w:cs="Arial"/>
          <w:kern w:val="0"/>
          <w:sz w:val="20"/>
          <w:szCs w:val="20"/>
          <w14:ligatures w14:val="none"/>
        </w:rPr>
        <w:t>efficace</w:t>
      </w:r>
      <w:r w:rsidRPr="00781770">
        <w:rPr>
          <w:rFonts w:ascii="Arial" w:eastAsia="Times New Roman" w:hAnsi="Arial" w:cs="Arial"/>
          <w:kern w:val="0"/>
          <w:sz w:val="20"/>
          <w:szCs w:val="20"/>
          <w14:ligatures w14:val="none"/>
        </w:rPr>
        <w:t xml:space="preserve"> par l'organe de gouvernance </w:t>
      </w:r>
    </w:p>
    <w:p w14:paraId="5D911588" w14:textId="77777777" w:rsidR="00781770" w:rsidRPr="00781770" w:rsidRDefault="00781770" w:rsidP="00781770">
      <w:pPr>
        <w:numPr>
          <w:ilvl w:val="0"/>
          <w:numId w:val="27"/>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Adopter le Cadre de référence international des pratiques professionnelles, y compris les Normes internationales d'audit interne, pour le secteur public </w:t>
      </w:r>
    </w:p>
    <w:p w14:paraId="58D97F6B" w14:textId="2872775A" w:rsidR="00FB33EF" w:rsidRPr="00FB33EF" w:rsidRDefault="00781770" w:rsidP="00FB33EF">
      <w:pPr>
        <w:numPr>
          <w:ilvl w:val="0"/>
          <w:numId w:val="27"/>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Renforcer la gestion des risques d'entreprise, les contrôles internes, les mécanismes de lutte contre la corruption, l'audit de performance </w:t>
      </w:r>
      <w:r w:rsidR="00FB33EF">
        <w:rPr>
          <w:rFonts w:ascii="Arial" w:eastAsia="Times New Roman" w:hAnsi="Arial" w:cs="Arial"/>
          <w:kern w:val="0"/>
          <w:sz w:val="20"/>
          <w:szCs w:val="20"/>
          <w14:ligatures w14:val="none"/>
        </w:rPr>
        <w:t>et</w:t>
      </w:r>
      <w:r w:rsidRPr="00781770">
        <w:rPr>
          <w:rFonts w:ascii="Arial" w:eastAsia="Times New Roman" w:hAnsi="Arial" w:cs="Arial"/>
          <w:kern w:val="0"/>
          <w:sz w:val="20"/>
          <w:szCs w:val="20"/>
          <w14:ligatures w14:val="none"/>
        </w:rPr>
        <w:t xml:space="preserve"> la résilience en situation de crise et la résilience organisationnelle </w:t>
      </w:r>
    </w:p>
    <w:p w14:paraId="4E75AD36" w14:textId="77777777" w:rsidR="00781770" w:rsidRPr="00781770" w:rsidRDefault="00781770" w:rsidP="00781770">
      <w:pPr>
        <w:spacing w:before="100" w:beforeAutospacing="1" w:after="100" w:afterAutospacing="1" w:line="240" w:lineRule="auto"/>
        <w:outlineLvl w:val="1"/>
        <w:rPr>
          <w:rFonts w:ascii="Arial" w:eastAsia="Times New Roman" w:hAnsi="Arial" w:cs="Arial"/>
          <w:b/>
          <w:bCs/>
          <w:kern w:val="0"/>
          <w:sz w:val="20"/>
          <w:szCs w:val="20"/>
          <w14:ligatures w14:val="none"/>
        </w:rPr>
      </w:pPr>
      <w:r w:rsidRPr="00781770">
        <w:rPr>
          <w:rFonts w:ascii="Arial" w:eastAsia="Times New Roman" w:hAnsi="Arial" w:cs="Arial"/>
          <w:b/>
          <w:bCs/>
          <w:kern w:val="0"/>
          <w:sz w:val="20"/>
          <w:szCs w:val="20"/>
          <w14:ligatures w14:val="none"/>
        </w:rPr>
        <w:t>RECOMMANDATIONS SUR LES PRATIQUES FACULTATIVES ET ÉMERGENTES</w:t>
      </w:r>
    </w:p>
    <w:p w14:paraId="1382C165" w14:textId="77777777" w:rsidR="00781770" w:rsidRPr="00781770" w:rsidRDefault="00781770" w:rsidP="00781770">
      <w:pPr>
        <w:numPr>
          <w:ilvl w:val="0"/>
          <w:numId w:val="28"/>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Explorer l'audit continu et l'assurance en temps réel </w:t>
      </w:r>
    </w:p>
    <w:p w14:paraId="1A41EBD4" w14:textId="77777777" w:rsidR="00781770" w:rsidRPr="00781770" w:rsidRDefault="00781770" w:rsidP="00781770">
      <w:pPr>
        <w:numPr>
          <w:ilvl w:val="0"/>
          <w:numId w:val="28"/>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Renforcer les protections accordées aux auditeurs internes du secteur public </w:t>
      </w:r>
    </w:p>
    <w:p w14:paraId="6E00D6F7" w14:textId="77777777" w:rsidR="00781770" w:rsidRPr="00781770" w:rsidRDefault="00781770" w:rsidP="00781770">
      <w:pPr>
        <w:numPr>
          <w:ilvl w:val="0"/>
          <w:numId w:val="28"/>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Renforcer les mécanismes de signalement des lanceurs d'alerte et les cadres d'éthique </w:t>
      </w:r>
    </w:p>
    <w:p w14:paraId="3143AF5A" w14:textId="77777777" w:rsidR="00781770" w:rsidRPr="00781770" w:rsidRDefault="00781770" w:rsidP="00781770">
      <w:pPr>
        <w:numPr>
          <w:ilvl w:val="0"/>
          <w:numId w:val="28"/>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Faire progresser l'audit de la durabilité, de la gouvernance climatique et de la résilience des infrastructures essentielles </w:t>
      </w:r>
    </w:p>
    <w:p w14:paraId="0CAADFA6" w14:textId="77777777" w:rsidR="00781770" w:rsidRPr="00781770" w:rsidRDefault="00781770" w:rsidP="00781770">
      <w:pPr>
        <w:numPr>
          <w:ilvl w:val="0"/>
          <w:numId w:val="28"/>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Élaborer et financer des stratégies de développement du bassin de talents en audit interne et de modernisation des effectifs </w:t>
      </w:r>
    </w:p>
    <w:p w14:paraId="12528F84" w14:textId="77777777" w:rsidR="00781770" w:rsidRPr="00781770" w:rsidRDefault="00781770" w:rsidP="00781770">
      <w:pPr>
        <w:spacing w:before="100" w:beforeAutospacing="1" w:after="100" w:afterAutospacing="1" w:line="240" w:lineRule="auto"/>
        <w:outlineLvl w:val="1"/>
        <w:rPr>
          <w:rFonts w:ascii="Arial" w:eastAsia="Times New Roman" w:hAnsi="Arial" w:cs="Arial"/>
          <w:b/>
          <w:bCs/>
          <w:kern w:val="0"/>
          <w:sz w:val="20"/>
          <w:szCs w:val="20"/>
          <w14:ligatures w14:val="none"/>
        </w:rPr>
      </w:pPr>
      <w:r w:rsidRPr="00781770">
        <w:rPr>
          <w:rFonts w:ascii="Arial" w:eastAsia="Times New Roman" w:hAnsi="Arial" w:cs="Arial"/>
          <w:b/>
          <w:bCs/>
          <w:kern w:val="0"/>
          <w:sz w:val="20"/>
          <w:szCs w:val="20"/>
          <w14:ligatures w14:val="none"/>
        </w:rPr>
        <w:t>RECOMMANDATIONS SUR LES POLITIQUES PUBLIQUES À ÉVITER</w:t>
      </w:r>
    </w:p>
    <w:p w14:paraId="045874E0" w14:textId="77777777" w:rsidR="00781770" w:rsidRPr="00781770" w:rsidRDefault="00781770" w:rsidP="00781770">
      <w:pPr>
        <w:numPr>
          <w:ilvl w:val="0"/>
          <w:numId w:val="29"/>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Éviter ou abroger les monopoles inappropriés sur l'exercice de la profession d'auditeur interne </w:t>
      </w:r>
    </w:p>
    <w:p w14:paraId="50887883" w14:textId="77777777" w:rsidR="00781770" w:rsidRPr="00781770" w:rsidRDefault="00781770" w:rsidP="00781770">
      <w:pPr>
        <w:numPr>
          <w:ilvl w:val="0"/>
          <w:numId w:val="29"/>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Limiter tout registre gouvernemental des auditeurs internes au secteur public et éviter la délivrance de permis d'exercice gouvernementaux pour les auditeurs internes </w:t>
      </w:r>
    </w:p>
    <w:p w14:paraId="1E8409D7" w14:textId="77777777" w:rsidR="00781770" w:rsidRPr="00781770" w:rsidRDefault="00781770" w:rsidP="00781770">
      <w:pPr>
        <w:numPr>
          <w:ilvl w:val="0"/>
          <w:numId w:val="29"/>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Éviter de créer des titres professionnels gouvernementaux coûteux et redondants qui font concurrence aux titres professionnels internationaux existants </w:t>
      </w:r>
    </w:p>
    <w:p w14:paraId="4A7A4530" w14:textId="77777777" w:rsidR="00781770" w:rsidRPr="00781770" w:rsidRDefault="00781770" w:rsidP="00781770">
      <w:pPr>
        <w:numPr>
          <w:ilvl w:val="0"/>
          <w:numId w:val="29"/>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 xml:space="preserve">Limiter tout examen gouvernemental d'aptitude aux exigences d'emploi dans le secteur public </w:t>
      </w:r>
    </w:p>
    <w:p w14:paraId="4FBD123C" w14:textId="77777777" w:rsidR="00781770" w:rsidRPr="00781770" w:rsidRDefault="00781770" w:rsidP="00781770">
      <w:pPr>
        <w:spacing w:before="100" w:beforeAutospacing="1" w:after="100" w:afterAutospacing="1" w:line="240" w:lineRule="auto"/>
        <w:outlineLvl w:val="1"/>
        <w:rPr>
          <w:rFonts w:ascii="Arial" w:eastAsia="Times New Roman" w:hAnsi="Arial" w:cs="Arial"/>
          <w:b/>
          <w:bCs/>
          <w:kern w:val="0"/>
          <w:sz w:val="20"/>
          <w:szCs w:val="20"/>
          <w14:ligatures w14:val="none"/>
        </w:rPr>
      </w:pPr>
      <w:r w:rsidRPr="00781770">
        <w:rPr>
          <w:rFonts w:ascii="Arial" w:eastAsia="Times New Roman" w:hAnsi="Arial" w:cs="Arial"/>
          <w:b/>
          <w:bCs/>
          <w:kern w:val="0"/>
          <w:sz w:val="20"/>
          <w:szCs w:val="20"/>
          <w14:ligatures w14:val="none"/>
        </w:rPr>
        <w:t>MISE EN ŒUVRE ET ADOPTION</w:t>
      </w:r>
    </w:p>
    <w:p w14:paraId="237172CC" w14:textId="77777777" w:rsidR="00781770" w:rsidRPr="00781770" w:rsidRDefault="00781770" w:rsidP="00781770">
      <w:pPr>
        <w:spacing w:before="100" w:beforeAutospacing="1" w:after="100" w:afterAutospacing="1" w:line="240" w:lineRule="auto"/>
        <w:outlineLvl w:val="1"/>
        <w:rPr>
          <w:rFonts w:ascii="Arial" w:eastAsia="Times New Roman" w:hAnsi="Arial" w:cs="Arial"/>
          <w:b/>
          <w:bCs/>
          <w:kern w:val="0"/>
          <w:sz w:val="20"/>
          <w:szCs w:val="20"/>
          <w14:ligatures w14:val="none"/>
        </w:rPr>
      </w:pPr>
      <w:r w:rsidRPr="00781770">
        <w:rPr>
          <w:rFonts w:ascii="Arial" w:eastAsia="Times New Roman" w:hAnsi="Arial" w:cs="Arial"/>
          <w:b/>
          <w:bCs/>
          <w:kern w:val="0"/>
          <w:sz w:val="20"/>
          <w:szCs w:val="20"/>
          <w14:ligatures w14:val="none"/>
        </w:rPr>
        <w:t>CONCLUSION</w:t>
      </w:r>
    </w:p>
    <w:p w14:paraId="524DBE45" w14:textId="77777777" w:rsidR="00781770" w:rsidRPr="00781770" w:rsidRDefault="00781770" w:rsidP="00781770">
      <w:pPr>
        <w:spacing w:before="100" w:beforeAutospacing="1" w:after="100" w:afterAutospacing="1" w:line="240" w:lineRule="auto"/>
        <w:outlineLvl w:val="1"/>
        <w:rPr>
          <w:rFonts w:ascii="Arial" w:eastAsia="Times New Roman" w:hAnsi="Arial" w:cs="Arial"/>
          <w:b/>
          <w:bCs/>
          <w:kern w:val="0"/>
          <w:sz w:val="20"/>
          <w:szCs w:val="20"/>
          <w14:ligatures w14:val="none"/>
        </w:rPr>
      </w:pPr>
      <w:r w:rsidRPr="00781770">
        <w:rPr>
          <w:rFonts w:ascii="Arial" w:eastAsia="Times New Roman" w:hAnsi="Arial" w:cs="Arial"/>
          <w:b/>
          <w:bCs/>
          <w:kern w:val="0"/>
          <w:sz w:val="20"/>
          <w:szCs w:val="20"/>
          <w14:ligatures w14:val="none"/>
        </w:rPr>
        <w:t>ANNEXE</w:t>
      </w:r>
    </w:p>
    <w:p w14:paraId="0B8945D2" w14:textId="77777777" w:rsidR="00781770" w:rsidRPr="00781770" w:rsidRDefault="00781770" w:rsidP="00781770">
      <w:pPr>
        <w:numPr>
          <w:ilvl w:val="0"/>
          <w:numId w:val="30"/>
        </w:num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Consultation des parties prenantes et révisions futures</w:t>
      </w:r>
    </w:p>
    <w:p w14:paraId="00A6A980" w14:textId="77777777" w:rsidR="00781770" w:rsidRDefault="00781770">
      <w:pPr>
        <w:rPr>
          <w:rFonts w:ascii="Arial" w:eastAsia="Times New Roman" w:hAnsi="Arial" w:cs="Arial"/>
          <w:b/>
          <w:bCs/>
          <w:color w:val="00B0F0"/>
          <w:kern w:val="36"/>
          <w:sz w:val="48"/>
          <w:szCs w:val="48"/>
          <w14:ligatures w14:val="none"/>
        </w:rPr>
      </w:pPr>
      <w:r>
        <w:rPr>
          <w:rFonts w:ascii="Arial" w:eastAsia="Times New Roman" w:hAnsi="Arial" w:cs="Arial"/>
          <w:b/>
          <w:bCs/>
          <w:color w:val="00B0F0"/>
          <w:kern w:val="36"/>
          <w:sz w:val="48"/>
          <w:szCs w:val="48"/>
          <w14:ligatures w14:val="none"/>
        </w:rPr>
        <w:br w:type="page"/>
      </w:r>
    </w:p>
    <w:p w14:paraId="689779B3" w14:textId="28131F5B" w:rsidR="00362751" w:rsidRPr="00362751" w:rsidRDefault="00362751" w:rsidP="00362751">
      <w:pPr>
        <w:spacing w:before="100" w:beforeAutospacing="1" w:after="100" w:afterAutospacing="1" w:line="240" w:lineRule="auto"/>
        <w:outlineLvl w:val="0"/>
        <w:rPr>
          <w:rFonts w:ascii="Arial" w:eastAsia="Times New Roman" w:hAnsi="Arial" w:cs="Arial"/>
          <w:b/>
          <w:bCs/>
          <w:color w:val="00B0F0"/>
          <w:kern w:val="36"/>
          <w:sz w:val="48"/>
          <w:szCs w:val="48"/>
          <w14:ligatures w14:val="none"/>
        </w:rPr>
      </w:pPr>
      <w:r w:rsidRPr="00362751">
        <w:rPr>
          <w:rFonts w:ascii="Arial" w:eastAsia="Times New Roman" w:hAnsi="Arial" w:cs="Arial"/>
          <w:b/>
          <w:bCs/>
          <w:color w:val="00B0F0"/>
          <w:kern w:val="36"/>
          <w:sz w:val="48"/>
          <w:szCs w:val="48"/>
          <w14:ligatures w14:val="none"/>
        </w:rPr>
        <w:lastRenderedPageBreak/>
        <w:t>VUE D’ENSEMBLE</w:t>
      </w:r>
    </w:p>
    <w:p w14:paraId="3D02C818" w14:textId="423AE607" w:rsidR="00362751" w:rsidRPr="00362751" w:rsidRDefault="00362751" w:rsidP="00362751">
      <w:pPr>
        <w:spacing w:before="100" w:beforeAutospacing="1" w:after="100" w:afterAutospacing="1" w:line="240" w:lineRule="auto"/>
        <w:outlineLvl w:val="0"/>
        <w:rPr>
          <w:rFonts w:ascii="Arial" w:eastAsia="Times New Roman" w:hAnsi="Arial" w:cs="Arial"/>
          <w:b/>
          <w:bCs/>
          <w:i/>
          <w:iCs/>
          <w:color w:val="70AD47" w:themeColor="accent6"/>
          <w:kern w:val="36"/>
          <w:sz w:val="28"/>
          <w:szCs w:val="28"/>
          <w14:ligatures w14:val="none"/>
        </w:rPr>
      </w:pPr>
      <w:r w:rsidRPr="00362751">
        <w:rPr>
          <w:rFonts w:ascii="Arial" w:eastAsia="Times New Roman" w:hAnsi="Arial" w:cs="Arial"/>
          <w:b/>
          <w:bCs/>
          <w:i/>
          <w:iCs/>
          <w:color w:val="70AD47" w:themeColor="accent6"/>
          <w:kern w:val="36"/>
          <w:sz w:val="28"/>
          <w:szCs w:val="28"/>
          <w14:ligatures w14:val="none"/>
        </w:rPr>
        <w:t>Résumé analytique</w:t>
      </w:r>
    </w:p>
    <w:p w14:paraId="2EC3131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du monde entier sont confrontés à des exigences croissantes : fournir des services efficacement, protéger les ressources publiques, gérer des risques de plus en plus complexes et maintenir la confiance des citoyens. Dans le même temps, les organisations du secteur public évoluent dans un environnement caractérisé par l'évolution rapide des technologies, les cybermenaces, l'intelligence artificielle (IA), les contraintes budgétaires, l'instabilité géopolitique, les défis liés au climat ainsi que les attentes croissantes du public en matière de transparence et de reddition de comptes.</w:t>
      </w:r>
    </w:p>
    <w:p w14:paraId="0CBF3E8F" w14:textId="59DF158F"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b/>
          <w:bCs/>
          <w:kern w:val="0"/>
          <w:sz w:val="20"/>
          <w:szCs w:val="20"/>
          <w:u w:val="single"/>
          <w14:ligatures w14:val="none"/>
        </w:rPr>
        <w:t>Dans ce contexte, des fonctions d'audit interne</w:t>
      </w:r>
      <w:r>
        <w:rPr>
          <w:rStyle w:val="FootnoteReference"/>
          <w:rFonts w:ascii="Arial" w:eastAsia="Times New Roman" w:hAnsi="Arial" w:cs="Arial"/>
          <w:b/>
          <w:bCs/>
          <w:kern w:val="0"/>
          <w:sz w:val="20"/>
          <w:szCs w:val="20"/>
          <w:u w:val="single"/>
          <w14:ligatures w14:val="none"/>
        </w:rPr>
        <w:footnoteReference w:id="1"/>
      </w:r>
      <w:r w:rsidRPr="00362751">
        <w:rPr>
          <w:rFonts w:ascii="Arial" w:eastAsia="Times New Roman" w:hAnsi="Arial" w:cs="Arial"/>
          <w:b/>
          <w:bCs/>
          <w:kern w:val="0"/>
          <w:sz w:val="20"/>
          <w:szCs w:val="20"/>
          <w:u w:val="single"/>
          <w14:ligatures w14:val="none"/>
        </w:rPr>
        <w:t xml:space="preserve"> solides au sein du secteur public n'ont jamais été aussi importantes.</w:t>
      </w:r>
      <w:r w:rsidRPr="00362751">
        <w:rPr>
          <w:rFonts w:ascii="Arial" w:eastAsia="Times New Roman" w:hAnsi="Arial" w:cs="Arial"/>
          <w:kern w:val="0"/>
          <w:sz w:val="20"/>
          <w:szCs w:val="20"/>
          <w14:ligatures w14:val="none"/>
        </w:rPr>
        <w:t xml:space="preserve"> L'audit interne joue un rôle unique et indispensable au sein des gouvernements et, plus largement, du secteur public. En fournissant une assurance et des services de conseil indépendants et objectifs en matière de gouvernance, de </w:t>
      </w:r>
      <w:r w:rsidRPr="00781770">
        <w:rPr>
          <w:rFonts w:ascii="Arial" w:eastAsia="Times New Roman" w:hAnsi="Arial" w:cs="Arial"/>
          <w:noProof/>
          <w:kern w:val="0"/>
          <w:sz w:val="20"/>
          <w:szCs w:val="20"/>
          <w:lang w:val="fr-FR"/>
          <w14:ligatures w14:val="none"/>
        </w:rPr>
        <w:t>gestion</w:t>
      </w:r>
      <w:r w:rsidRPr="00362751">
        <w:rPr>
          <w:rFonts w:ascii="Arial" w:eastAsia="Times New Roman" w:hAnsi="Arial" w:cs="Arial"/>
          <w:kern w:val="0"/>
          <w:sz w:val="20"/>
          <w:szCs w:val="20"/>
          <w14:ligatures w14:val="none"/>
        </w:rPr>
        <w:t xml:space="preserve"> des risques et de contrôles internes, les auditeurs internes aident les dirigeants du secteur public à atteindre les objectifs de leur organisation, à renforcer la reddition de comptes, à améliorer la performance et à servir l'intérêt général.</w:t>
      </w:r>
    </w:p>
    <w:p w14:paraId="1FCF9D1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Toutefois, l'efficacité de l'audit interne dans le secteur public ne va pas de soi. Dans de nombreux ressorts, les fonctions d'audit interne ne disposent pas du niveau d'indépendance, d'autorité, de ressources, de reconnaissance professionnelle ou de soutien de l'organe de gouvernance nécessaire. Dans d'autres, des cadres législatifs et réglementaires désuets, un investissement insuffisant dans le perfectionnement professionnel, une mise en œuvre inadéquate des recommandations d'audit ou encore une influence politique inappropriée peuvent réduire considérablement la valeur que les auditeurs internes apportent aux organisations du secteur public.</w:t>
      </w:r>
    </w:p>
    <w:p w14:paraId="0C46244F" w14:textId="1DCA4356" w:rsidR="00362751" w:rsidRPr="00781770" w:rsidRDefault="00362751" w:rsidP="00781770">
      <w:pPr>
        <w:pStyle w:val="NormalWeb"/>
        <w:rPr>
          <w:rFonts w:ascii="Arial" w:hAnsi="Arial" w:cs="Arial"/>
          <w:b/>
          <w:bCs/>
          <w:color w:val="00B0F0"/>
          <w:sz w:val="48"/>
          <w:szCs w:val="48"/>
        </w:rPr>
      </w:pPr>
      <w:r w:rsidRPr="00362751">
        <w:rPr>
          <w:rFonts w:ascii="Arial" w:hAnsi="Arial" w:cs="Arial"/>
          <w:sz w:val="20"/>
          <w:szCs w:val="20"/>
        </w:rPr>
        <w:t xml:space="preserve">Conscient de ces défis, </w:t>
      </w:r>
      <w:r w:rsidRPr="00362751">
        <w:rPr>
          <w:rFonts w:ascii="Arial" w:hAnsi="Arial" w:cs="Arial"/>
          <w:sz w:val="20"/>
          <w:szCs w:val="20"/>
        </w:rPr>
        <w:t>L’I</w:t>
      </w:r>
      <w:r w:rsidRPr="00362751">
        <w:rPr>
          <w:rFonts w:ascii="Arial" w:hAnsi="Arial" w:cs="Arial"/>
          <w:sz w:val="20"/>
          <w:szCs w:val="20"/>
        </w:rPr>
        <w:t>nstitute of Internal Auditors (</w:t>
      </w:r>
      <w:r w:rsidRPr="00362751">
        <w:rPr>
          <w:rFonts w:ascii="Arial" w:hAnsi="Arial" w:cs="Arial"/>
          <w:sz w:val="20"/>
          <w:szCs w:val="20"/>
        </w:rPr>
        <w:t>L’</w:t>
      </w:r>
      <w:r w:rsidRPr="00362751">
        <w:rPr>
          <w:rFonts w:ascii="Arial" w:hAnsi="Arial" w:cs="Arial"/>
          <w:sz w:val="20"/>
          <w:szCs w:val="20"/>
        </w:rPr>
        <w:t xml:space="preserve">IIA) a élaboré </w:t>
      </w:r>
      <w:r w:rsidR="00781770">
        <w:rPr>
          <w:rFonts w:ascii="Arial" w:hAnsi="Arial" w:cs="Arial"/>
          <w:b/>
          <w:bCs/>
          <w:color w:val="00B0F0"/>
          <w:sz w:val="20"/>
          <w:szCs w:val="20"/>
        </w:rPr>
        <w:t>L’Audit interne au sein du gouvernement et du secteur public (</w:t>
      </w:r>
      <w:r w:rsidRPr="00362751">
        <w:rPr>
          <w:rFonts w:ascii="Arial" w:hAnsi="Arial" w:cs="Arial"/>
          <w:b/>
          <w:bCs/>
          <w:color w:val="00B0F0"/>
          <w:sz w:val="20"/>
          <w:szCs w:val="20"/>
        </w:rPr>
        <w:t>PS GP4</w:t>
      </w:r>
      <w:r w:rsidR="00781770">
        <w:rPr>
          <w:rFonts w:ascii="Arial" w:hAnsi="Arial" w:cs="Arial"/>
          <w:b/>
          <w:bCs/>
          <w:color w:val="00B0F0"/>
          <w:sz w:val="20"/>
          <w:szCs w:val="20"/>
        </w:rPr>
        <w:t>, pour son acronyme en anglais</w:t>
      </w:r>
      <w:r w:rsidRPr="00362751">
        <w:rPr>
          <w:rFonts w:ascii="Arial" w:hAnsi="Arial" w:cs="Arial"/>
          <w:b/>
          <w:bCs/>
          <w:color w:val="00B0F0"/>
          <w:sz w:val="20"/>
          <w:szCs w:val="20"/>
        </w:rPr>
        <w:t>)</w:t>
      </w:r>
      <w:r w:rsidRPr="00362751">
        <w:rPr>
          <w:rFonts w:ascii="Arial" w:hAnsi="Arial" w:cs="Arial"/>
          <w:color w:val="5B9BD5" w:themeColor="accent5"/>
          <w:sz w:val="20"/>
          <w:szCs w:val="20"/>
        </w:rPr>
        <w:t xml:space="preserve"> </w:t>
      </w:r>
      <w:r w:rsidRPr="00362751">
        <w:rPr>
          <w:rFonts w:ascii="Arial" w:hAnsi="Arial" w:cs="Arial"/>
          <w:sz w:val="20"/>
          <w:szCs w:val="20"/>
        </w:rPr>
        <w:t xml:space="preserve">afin d'aider les décideurs publics, les dirigeants du secteur public et la fédération des instituts nationaux de </w:t>
      </w:r>
      <w:r w:rsidRPr="00362751">
        <w:rPr>
          <w:rFonts w:ascii="Arial" w:hAnsi="Arial" w:cs="Arial"/>
          <w:sz w:val="20"/>
          <w:szCs w:val="20"/>
        </w:rPr>
        <w:t>L’</w:t>
      </w:r>
      <w:r w:rsidRPr="00362751">
        <w:rPr>
          <w:rFonts w:ascii="Arial" w:hAnsi="Arial" w:cs="Arial"/>
          <w:sz w:val="20"/>
          <w:szCs w:val="20"/>
        </w:rPr>
        <w:t xml:space="preserve">IIA à établir et à maintenir des fonctions d'audit interne efficaces dans l'ensemble du secteur public. Le présent document s'appuie sur </w:t>
      </w:r>
      <w:hyperlink r:id="rId8" w:history="1">
        <w:r w:rsidRPr="00362751">
          <w:rPr>
            <w:rStyle w:val="Hyperlink"/>
            <w:rFonts w:ascii="Arial" w:hAnsi="Arial" w:cs="Arial"/>
            <w:sz w:val="20"/>
            <w:szCs w:val="20"/>
          </w:rPr>
          <w:t>le Global Public Policy Position Paper (GP4)</w:t>
        </w:r>
      </w:hyperlink>
      <w:r w:rsidRPr="00362751">
        <w:rPr>
          <w:rFonts w:ascii="Arial" w:hAnsi="Arial" w:cs="Arial"/>
          <w:sz w:val="20"/>
          <w:szCs w:val="20"/>
        </w:rPr>
        <w:t xml:space="preserve"> de</w:t>
      </w:r>
      <w:r w:rsidRPr="00362751">
        <w:rPr>
          <w:rFonts w:ascii="Arial" w:hAnsi="Arial" w:cs="Arial"/>
          <w:sz w:val="20"/>
          <w:szCs w:val="20"/>
        </w:rPr>
        <w:t xml:space="preserve"> L’</w:t>
      </w:r>
      <w:r w:rsidRPr="00362751">
        <w:rPr>
          <w:rFonts w:ascii="Arial" w:hAnsi="Arial" w:cs="Arial"/>
          <w:sz w:val="20"/>
          <w:szCs w:val="20"/>
        </w:rPr>
        <w:t>I</w:t>
      </w:r>
      <w:r w:rsidR="00781770">
        <w:rPr>
          <w:rFonts w:ascii="Arial" w:hAnsi="Arial" w:cs="Arial"/>
          <w:sz w:val="20"/>
          <w:szCs w:val="20"/>
        </w:rPr>
        <w:t>IA</w:t>
      </w:r>
      <w:r w:rsidRPr="00362751">
        <w:rPr>
          <w:rFonts w:ascii="Arial" w:hAnsi="Arial" w:cs="Arial"/>
          <w:sz w:val="20"/>
          <w:szCs w:val="20"/>
        </w:rPr>
        <w:t xml:space="preserve">. Alors que le GP4 traite du cadre législatif et réglementaire recommandé par </w:t>
      </w:r>
      <w:r w:rsidRPr="00362751">
        <w:rPr>
          <w:rFonts w:ascii="Arial" w:hAnsi="Arial" w:cs="Arial"/>
          <w:sz w:val="20"/>
          <w:szCs w:val="20"/>
        </w:rPr>
        <w:t>L’</w:t>
      </w:r>
      <w:r w:rsidRPr="00362751">
        <w:rPr>
          <w:rFonts w:ascii="Arial" w:hAnsi="Arial" w:cs="Arial"/>
          <w:sz w:val="20"/>
          <w:szCs w:val="20"/>
        </w:rPr>
        <w:t>IIA pour la profession d'audit interne dans son ensemble, le présent document porte plus particulièrement sur les considérations stratégiques, de gouvernance et opérationnelles propres à l'audit interne au sein des gouvernements et du secteur public.</w:t>
      </w:r>
      <w:r w:rsidR="00781770" w:rsidRPr="00781770">
        <w:rPr>
          <w:rStyle w:val="Strong"/>
          <w:rFonts w:ascii="Arial" w:hAnsi="Arial" w:cs="Arial"/>
          <w:color w:val="00B0F0"/>
          <w:sz w:val="48"/>
          <w:szCs w:val="48"/>
        </w:rPr>
        <w:t xml:space="preserve"> </w:t>
      </w:r>
    </w:p>
    <w:p w14:paraId="79EB98A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recommandations formulées dans le présent document se veulent applicables à l'échelle mondiale, tout en reconnaissant que les structures du secteur public, les environnements politiques et administratifs ainsi que les modèles de gouvernance varient considérablement d'un ressort à l'autre. Par conséquent, le présent document privilégie des principes et des objectifs conceptuels généraux plutôt que de prescrire un modèle organisationnel unique applicable à tous les pays.</w:t>
      </w:r>
    </w:p>
    <w:p w14:paraId="5E4B3F97" w14:textId="32BCEAAE" w:rsidR="00362751" w:rsidRPr="00362751" w:rsidRDefault="00362751" w:rsidP="00362751">
      <w:pPr>
        <w:spacing w:before="100" w:beforeAutospacing="1" w:after="100" w:afterAutospacing="1" w:line="240" w:lineRule="auto"/>
        <w:rPr>
          <w:rFonts w:ascii="Arial" w:eastAsia="Times New Roman" w:hAnsi="Arial" w:cs="Arial"/>
          <w:b/>
          <w:bCs/>
          <w:kern w:val="0"/>
          <w:sz w:val="20"/>
          <w:szCs w:val="20"/>
          <w14:ligatures w14:val="none"/>
        </w:rPr>
      </w:pPr>
      <w:r w:rsidRPr="00362751">
        <w:rPr>
          <w:rFonts w:ascii="Arial" w:eastAsia="Times New Roman" w:hAnsi="Arial" w:cs="Arial"/>
          <w:b/>
          <w:bCs/>
          <w:kern w:val="0"/>
          <w:sz w:val="20"/>
          <w:szCs w:val="20"/>
          <w14:ligatures w14:val="none"/>
        </w:rPr>
        <w:t xml:space="preserve">Au fondement du présent document, </w:t>
      </w:r>
      <w:r w:rsidRPr="00362751">
        <w:rPr>
          <w:rFonts w:ascii="Arial" w:eastAsia="Times New Roman" w:hAnsi="Arial" w:cs="Arial"/>
          <w:b/>
          <w:bCs/>
          <w:kern w:val="0"/>
          <w:sz w:val="20"/>
          <w:szCs w:val="20"/>
          <w14:ligatures w14:val="none"/>
        </w:rPr>
        <w:t>L’</w:t>
      </w:r>
      <w:r w:rsidRPr="00362751">
        <w:rPr>
          <w:rFonts w:ascii="Arial" w:eastAsia="Times New Roman" w:hAnsi="Arial" w:cs="Arial"/>
          <w:b/>
          <w:bCs/>
          <w:kern w:val="0"/>
          <w:sz w:val="20"/>
          <w:szCs w:val="20"/>
          <w14:ligatures w14:val="none"/>
        </w:rPr>
        <w:t>IIA estime que :</w:t>
      </w:r>
    </w:p>
    <w:p w14:paraId="07D35B4D" w14:textId="77777777" w:rsidR="00362751" w:rsidRPr="00362751" w:rsidRDefault="00362751" w:rsidP="00362751">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L'audit interne renforce la confiance du public et l'efficacité des gouvernements. </w:t>
      </w:r>
    </w:p>
    <w:p w14:paraId="52624B79" w14:textId="77777777" w:rsidR="00362751" w:rsidRPr="00362751" w:rsidRDefault="00362751" w:rsidP="00362751">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fonctions d'audit interne indépendantes sont essentielles à une bonne gouvernance. </w:t>
      </w:r>
    </w:p>
    <w:p w14:paraId="1FF64B22" w14:textId="77777777" w:rsidR="00362751" w:rsidRPr="00362751" w:rsidRDefault="00362751" w:rsidP="00362751">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L'audit interne du secteur public devrait être conforme à un cadre de référence et à des normes reconnus à l'échelle mondiale. </w:t>
      </w:r>
    </w:p>
    <w:p w14:paraId="46AD1997" w14:textId="77777777" w:rsidR="00362751" w:rsidRPr="00362751" w:rsidRDefault="00362751" w:rsidP="00362751">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fonctions d'audit interne du secteur public doivent continuellement évoluer afin de répondre aux risques émergents et aux nouvelles technologies. </w:t>
      </w:r>
    </w:p>
    <w:p w14:paraId="79BB7F35" w14:textId="77777777" w:rsidR="00362751" w:rsidRPr="00362751" w:rsidRDefault="00362751" w:rsidP="00362751">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 xml:space="preserve">Un audit interne efficace sert l'intérêt général en favorisant la reddition de comptes, la transparence, l'intégrité et une gestion responsable des ressources publiques. </w:t>
      </w:r>
    </w:p>
    <w:p w14:paraId="468CF054"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kern w:val="0"/>
          <w:sz w:val="20"/>
          <w:szCs w:val="20"/>
          <w14:ligatures w14:val="none"/>
        </w:rPr>
      </w:pPr>
      <w:r w:rsidRPr="00362751">
        <w:rPr>
          <w:rFonts w:ascii="Arial" w:eastAsia="Times New Roman" w:hAnsi="Arial" w:cs="Arial"/>
          <w:b/>
          <w:bCs/>
          <w:kern w:val="0"/>
          <w:sz w:val="20"/>
          <w:szCs w:val="20"/>
          <w14:ligatures w14:val="none"/>
        </w:rPr>
        <w:t>Recommandations essentielles</w:t>
      </w:r>
    </w:p>
    <w:p w14:paraId="27ECA7B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Afin de renforcer l'audit interne au sein des gouvernements et du secteur public, L'IIA recommande aux décideurs publics :</w:t>
      </w:r>
    </w:p>
    <w:p w14:paraId="3CEA480F" w14:textId="77777777" w:rsidR="00362751" w:rsidRPr="00362751" w:rsidRDefault="00362751" w:rsidP="00362751">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définir l'audit interne dans la loi et d'établir des fonctions d'audit interne robustes, indépendantes et dotées des ressources nécessaires dans l'ensemble de l'administration publique; </w:t>
      </w:r>
    </w:p>
    <w:p w14:paraId="02DB2C9D" w14:textId="77777777" w:rsidR="00362751" w:rsidRPr="00362751" w:rsidRDefault="00362751" w:rsidP="00362751">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d'assurer une gouvernance appropriée, des liens hiérarchiques adéquats, un positionnement organisationnel approprié et une supervision efficace par l'organe de gouvernance; </w:t>
      </w:r>
    </w:p>
    <w:p w14:paraId="2D4B2940" w14:textId="70F93F71" w:rsidR="00362751" w:rsidRPr="00362751" w:rsidRDefault="00362751" w:rsidP="00362751">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d'adopter le Cadre de référence international des pratiques professionnelles</w:t>
      </w:r>
      <w:r w:rsidRPr="00362751">
        <w:rPr>
          <w:rFonts w:ascii="Arial" w:eastAsia="Times New Roman" w:hAnsi="Arial" w:cs="Arial"/>
          <w:kern w:val="0"/>
          <w:sz w:val="20"/>
          <w:szCs w:val="20"/>
          <w14:ligatures w14:val="none"/>
        </w:rPr>
        <w:t xml:space="preserve"> </w:t>
      </w:r>
      <w:r w:rsidRPr="00362751">
        <w:rPr>
          <w:rFonts w:ascii="Arial" w:eastAsia="Times New Roman" w:hAnsi="Arial" w:cs="Arial"/>
          <w:kern w:val="0"/>
          <w:sz w:val="20"/>
          <w:szCs w:val="20"/>
          <w14:ligatures w14:val="none"/>
        </w:rPr>
        <w:t xml:space="preserve">® (CRIPP), y compris les Normes internationales d'audit interne™ (GIAS), et d'en soutenir l'application par les auditeurs internes du secteur public; </w:t>
      </w:r>
    </w:p>
    <w:p w14:paraId="377A4828" w14:textId="77777777" w:rsidR="00362751" w:rsidRPr="00362751" w:rsidRDefault="00362751" w:rsidP="00362751">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renforcer la gestion des risques, les contrôles internes, les mécanismes de lutte contre la corruption et l'audit de performance dans l'ensemble de l'administration publique; </w:t>
      </w:r>
    </w:p>
    <w:p w14:paraId="692EF115" w14:textId="249B3267" w:rsidR="00362751" w:rsidRPr="00362751" w:rsidRDefault="00362751" w:rsidP="00362751">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veiller à ce que les auditeurs internes du secteur public possèdent les compétences, les qualifications professionnelles, les titres professionnels ainsi que </w:t>
      </w:r>
      <w:r w:rsidRPr="00362751">
        <w:rPr>
          <w:rFonts w:ascii="Arial" w:hAnsi="Arial" w:cs="Arial"/>
          <w:sz w:val="20"/>
          <w:szCs w:val="20"/>
        </w:rPr>
        <w:t>les qualités éthiques nécessaires</w:t>
      </w:r>
      <w:r w:rsidRPr="00362751">
        <w:rPr>
          <w:rFonts w:ascii="Arial" w:eastAsia="Times New Roman" w:hAnsi="Arial" w:cs="Arial"/>
          <w:kern w:val="0"/>
          <w:sz w:val="20"/>
          <w:szCs w:val="20"/>
          <w14:ligatures w14:val="none"/>
        </w:rPr>
        <w:t xml:space="preserve"> pour exercer efficacement leurs responsabilités; </w:t>
      </w:r>
    </w:p>
    <w:p w14:paraId="48E3A891" w14:textId="77777777" w:rsidR="00362751" w:rsidRPr="00362751" w:rsidRDefault="00362751" w:rsidP="00362751">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promouvoir l'utilisation des technologies modernes, notamment l'analytique de données, l'audit de la cybersécurité et les capacités d'audit de l'intelligence artificielle (IA); </w:t>
      </w:r>
    </w:p>
    <w:p w14:paraId="60C698C4" w14:textId="77777777" w:rsidR="00362751" w:rsidRPr="00362751" w:rsidRDefault="00362751" w:rsidP="00362751">
      <w:pPr>
        <w:numPr>
          <w:ilvl w:val="0"/>
          <w:numId w:val="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d'améliorer la coordination entre les auditeurs internes et les autres parties prenantes responsables de la reddition de comptes et de la supervision (par exemple, les institutions supérieures de contrôle des finances publiques (ISC), les inspecteurs généraux, les organismes de lutte contre la corruption, les assemblées législatives, etc.). </w:t>
      </w:r>
    </w:p>
    <w:p w14:paraId="2D145336" w14:textId="77777777" w:rsidR="00362751" w:rsidRPr="00362751" w:rsidRDefault="00362751" w:rsidP="00362751">
      <w:pPr>
        <w:spacing w:after="0" w:line="240" w:lineRule="auto"/>
        <w:rPr>
          <w:rFonts w:ascii="Arial" w:eastAsia="Times New Roman" w:hAnsi="Arial" w:cs="Arial"/>
          <w:b/>
          <w:bCs/>
          <w:kern w:val="0"/>
          <w:sz w:val="20"/>
          <w:szCs w:val="20"/>
          <w14:ligatures w14:val="none"/>
        </w:rPr>
      </w:pPr>
    </w:p>
    <w:p w14:paraId="440E35FB" w14:textId="4BCDB136" w:rsidR="00362751" w:rsidRPr="00362751" w:rsidRDefault="00362751" w:rsidP="00362751">
      <w:pPr>
        <w:spacing w:after="0" w:line="240" w:lineRule="auto"/>
        <w:rPr>
          <w:rFonts w:ascii="Arial" w:eastAsia="Times New Roman" w:hAnsi="Arial" w:cs="Arial"/>
          <w:kern w:val="0"/>
          <w:sz w:val="20"/>
          <w:szCs w:val="20"/>
          <w14:ligatures w14:val="none"/>
        </w:rPr>
      </w:pPr>
      <w:r w:rsidRPr="00362751">
        <w:rPr>
          <w:rFonts w:ascii="Arial" w:eastAsia="Times New Roman" w:hAnsi="Arial" w:cs="Arial"/>
          <w:b/>
          <w:bCs/>
          <w:kern w:val="0"/>
          <w:sz w:val="20"/>
          <w:szCs w:val="20"/>
          <w14:ligatures w14:val="none"/>
        </w:rPr>
        <w:t>Recommandations émergentes et facultatives</w:t>
      </w:r>
    </w:p>
    <w:p w14:paraId="7039C00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encourage également les décideurs publics à envisager les mesures suivantes :</w:t>
      </w:r>
    </w:p>
    <w:p w14:paraId="72892203" w14:textId="77777777" w:rsidR="00362751" w:rsidRPr="00362751" w:rsidRDefault="00362751" w:rsidP="00362751">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développer les capacités d'audit continu et d'assurance en temps réel; </w:t>
      </w:r>
    </w:p>
    <w:p w14:paraId="11EAB9F7" w14:textId="77777777" w:rsidR="00362751" w:rsidRPr="00362751" w:rsidRDefault="00362751" w:rsidP="00362751">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renforcer les mécanismes de protection des auditeurs internes du secteur public; </w:t>
      </w:r>
    </w:p>
    <w:p w14:paraId="74ECE95B" w14:textId="6532FC2A" w:rsidR="00362751" w:rsidRPr="00362751" w:rsidRDefault="00362751" w:rsidP="00362751">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améliorer </w:t>
      </w:r>
      <w:r w:rsidRPr="00362751">
        <w:rPr>
          <w:rFonts w:ascii="Arial" w:hAnsi="Arial" w:cs="Arial"/>
          <w:sz w:val="20"/>
          <w:szCs w:val="20"/>
        </w:rPr>
        <w:t>les cadres de signalement des lanceurs d'alerte</w:t>
      </w:r>
      <w:r w:rsidRPr="00362751">
        <w:rPr>
          <w:rFonts w:ascii="Arial" w:hAnsi="Arial" w:cs="Arial"/>
          <w:sz w:val="20"/>
          <w:szCs w:val="20"/>
        </w:rPr>
        <w:t xml:space="preserve"> </w:t>
      </w:r>
      <w:r w:rsidRPr="00362751">
        <w:rPr>
          <w:rFonts w:ascii="Arial" w:eastAsia="Times New Roman" w:hAnsi="Arial" w:cs="Arial"/>
          <w:kern w:val="0"/>
          <w:sz w:val="20"/>
          <w:szCs w:val="20"/>
          <w14:ligatures w14:val="none"/>
        </w:rPr>
        <w:t xml:space="preserve">et les dispositifs favorisant un comportement éthique; </w:t>
      </w:r>
    </w:p>
    <w:p w14:paraId="3FC143D7" w14:textId="77777777" w:rsidR="00362751" w:rsidRPr="00362751" w:rsidRDefault="00362751" w:rsidP="00362751">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intégrer, lorsqu'il y a lieu, l'audit de la durabilité, de la gouvernance climatique et de la résilience des infrastructures critiques; </w:t>
      </w:r>
    </w:p>
    <w:p w14:paraId="74546BA4" w14:textId="77777777" w:rsidR="00362751" w:rsidRPr="00362751" w:rsidRDefault="00362751" w:rsidP="00362751">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investir dans la modernisation de la main-d'œuvre de l'audit interne ainsi que dans les initiatives visant à développer les talents.</w:t>
      </w:r>
    </w:p>
    <w:p w14:paraId="7EED3D95"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0"/>
          <w:szCs w:val="20"/>
          <w14:ligatures w14:val="none"/>
        </w:rPr>
      </w:pPr>
      <w:r w:rsidRPr="00362751">
        <w:rPr>
          <w:rFonts w:ascii="Arial" w:eastAsia="Times New Roman" w:hAnsi="Arial" w:cs="Arial"/>
          <w:b/>
          <w:bCs/>
          <w:kern w:val="0"/>
          <w:sz w:val="20"/>
          <w:szCs w:val="20"/>
          <w14:ligatures w14:val="none"/>
        </w:rPr>
        <w:t>Politiques publiques à éviter</w:t>
      </w:r>
    </w:p>
    <w:p w14:paraId="6E607CA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Enfin, L'IIA estime également que les gouvernements devraient éviter d'adopter des politiques qui restreignent, affaiblissent ou entravent inutilement le succès de la profession, notamment :</w:t>
      </w:r>
    </w:p>
    <w:p w14:paraId="069B18B8" w14:textId="77777777" w:rsidR="00362751" w:rsidRPr="00362751" w:rsidRDefault="00362751" w:rsidP="00362751">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monopoles sur l'exercice de l'audit interne; </w:t>
      </w:r>
    </w:p>
    <w:p w14:paraId="070FFCAD" w14:textId="77777777" w:rsidR="00362751" w:rsidRPr="00362751" w:rsidRDefault="00362751" w:rsidP="00362751">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permis délivrés par le gouvernement aux auditeurs internes; </w:t>
      </w:r>
    </w:p>
    <w:p w14:paraId="0B5D244F" w14:textId="77777777" w:rsidR="00362751" w:rsidRPr="00362751" w:rsidRDefault="00362751" w:rsidP="00362751">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titres professionnels délivrés par le gouvernement qui font double emploi avec des certifications reconnues à l'échelle internationale; </w:t>
      </w:r>
    </w:p>
    <w:p w14:paraId="0F46ABAA" w14:textId="77777777" w:rsidR="00362751" w:rsidRPr="00362751" w:rsidRDefault="00362751" w:rsidP="00362751">
      <w:pPr>
        <w:numPr>
          <w:ilvl w:val="0"/>
          <w:numId w:val="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exigences réglementaires excessives qui affaiblissent le modèle d'autoréglementation de la profession. </w:t>
      </w:r>
    </w:p>
    <w:p w14:paraId="65236B86" w14:textId="45E1A4C1" w:rsidR="00362751" w:rsidRPr="00362751" w:rsidRDefault="00362751" w:rsidP="00362751">
      <w:pPr>
        <w:spacing w:after="0" w:line="240" w:lineRule="auto"/>
        <w:rPr>
          <w:rFonts w:ascii="Arial" w:eastAsia="Times New Roman" w:hAnsi="Arial" w:cs="Arial"/>
          <w:kern w:val="0"/>
          <w:sz w:val="20"/>
          <w:szCs w:val="20"/>
          <w14:ligatures w14:val="none"/>
        </w:rPr>
      </w:pPr>
      <w:r w:rsidRPr="00362751">
        <w:rPr>
          <w:rFonts w:ascii="Arial" w:eastAsia="Times New Roman" w:hAnsi="Arial" w:cs="Arial"/>
          <w:b/>
          <w:bCs/>
          <w:kern w:val="0"/>
          <w:sz w:val="20"/>
          <w:szCs w:val="20"/>
          <w14:ligatures w14:val="none"/>
        </w:rPr>
        <w:lastRenderedPageBreak/>
        <w:t>Regard vers l'avenir</w:t>
      </w:r>
    </w:p>
    <w:p w14:paraId="1AE0DEF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Des fonctions d'audit interne solides dans le secteur public profitent aux gouvernements, aux institutions publiques, aux contribuables et aux citoyens. Elles contribuent à améliorer la prise de décision, à renforcer les contrôles internes, à prévenir et à détecter la fraude et la corruption, à accroître l'efficacité des programmes et à renforcer la confiance du public envers les institutions gouvernementales.</w:t>
      </w:r>
    </w:p>
    <w:p w14:paraId="3FD6FAD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À mesure que les gouvernements sont confrontés à des défis de plus en plus complexes, les décideurs publics devraient considérer l'audit interne non pas comme un simple exercice de conformité, mais comme une fonction de gouvernance stratégique et essentielle qui contribue directement à l'efficacité organisationnelle et à la confiance du public.</w:t>
      </w:r>
    </w:p>
    <w:p w14:paraId="5B1DE4AA" w14:textId="44A2119F" w:rsidR="00362751" w:rsidRPr="00362751" w:rsidRDefault="00362751" w:rsidP="00362751">
      <w:pPr>
        <w:spacing w:before="100" w:beforeAutospacing="1" w:after="100" w:afterAutospacing="1" w:line="240" w:lineRule="auto"/>
        <w:outlineLvl w:val="1"/>
        <w:rPr>
          <w:rFonts w:ascii="Arial" w:eastAsia="Times New Roman" w:hAnsi="Arial" w:cs="Arial"/>
          <w:b/>
          <w:bCs/>
          <w:i/>
          <w:iCs/>
          <w:color w:val="70AD47" w:themeColor="accent6"/>
          <w:kern w:val="0"/>
          <w:sz w:val="28"/>
          <w:szCs w:val="28"/>
          <w14:ligatures w14:val="none"/>
        </w:rPr>
      </w:pPr>
      <w:r w:rsidRPr="00362751">
        <w:rPr>
          <w:rFonts w:ascii="Arial" w:eastAsia="Times New Roman" w:hAnsi="Arial" w:cs="Arial"/>
          <w:b/>
          <w:bCs/>
          <w:i/>
          <w:iCs/>
          <w:color w:val="70AD47" w:themeColor="accent6"/>
          <w:kern w:val="0"/>
          <w:sz w:val="28"/>
          <w:szCs w:val="28"/>
          <w14:ligatures w14:val="none"/>
        </w:rPr>
        <w:t>Principes directeurs des politiques publiques</w:t>
      </w:r>
      <w:r>
        <w:rPr>
          <w:rStyle w:val="FootnoteReference"/>
          <w:rFonts w:ascii="Arial" w:eastAsia="Times New Roman" w:hAnsi="Arial" w:cs="Arial"/>
          <w:b/>
          <w:bCs/>
          <w:i/>
          <w:iCs/>
          <w:color w:val="70AD47" w:themeColor="accent6"/>
          <w:kern w:val="0"/>
          <w:sz w:val="28"/>
          <w:szCs w:val="28"/>
          <w14:ligatures w14:val="none"/>
        </w:rPr>
        <w:footnoteReference w:id="2"/>
      </w:r>
    </w:p>
    <w:p w14:paraId="24DA310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recommandations formulées dans le présent document reposent sur </w:t>
      </w:r>
      <w:r w:rsidRPr="00362751">
        <w:rPr>
          <w:rFonts w:ascii="Arial" w:eastAsia="Times New Roman" w:hAnsi="Arial" w:cs="Arial"/>
          <w:b/>
          <w:bCs/>
          <w:color w:val="00B0F0"/>
          <w:kern w:val="0"/>
          <w:sz w:val="20"/>
          <w:szCs w:val="20"/>
          <w14:ligatures w14:val="none"/>
        </w:rPr>
        <w:t>cinq principes directeurs en matière de politiques publiques</w:t>
      </w:r>
      <w:r w:rsidRPr="00362751">
        <w:rPr>
          <w:rFonts w:ascii="Arial" w:eastAsia="Times New Roman" w:hAnsi="Arial" w:cs="Arial"/>
          <w:kern w:val="0"/>
          <w:sz w:val="20"/>
          <w:szCs w:val="20"/>
          <w14:ligatures w14:val="none"/>
        </w:rPr>
        <w:t>.</w:t>
      </w:r>
    </w:p>
    <w:p w14:paraId="619819F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b/>
          <w:bCs/>
          <w:kern w:val="0"/>
          <w:sz w:val="20"/>
          <w:szCs w:val="20"/>
          <w14:ligatures w14:val="none"/>
        </w:rPr>
        <w:t>Premièrement, l'audit interne dans le secteur public renforce la confiance du public et l'efficacité des gouvernements.</w:t>
      </w:r>
    </w:p>
    <w:p w14:paraId="2328B73A" w14:textId="112BE63F"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Malheureusement, la confiance du public envers les institutions gouvernementales est en déclin depuis plusieurs années. En 2025, l'Organisation de coopération et de développement économiques (OCDE) a constaté, dans le cadre de son enquête mondiale, que 44 % des répondants déclaraient avoir peu ou pas confiance dans leur gouvernement national.</w:t>
      </w:r>
      <w:r>
        <w:rPr>
          <w:rStyle w:val="FootnoteReference"/>
          <w:rFonts w:ascii="Arial" w:eastAsia="Times New Roman" w:hAnsi="Arial" w:cs="Arial"/>
          <w:kern w:val="0"/>
          <w:sz w:val="20"/>
          <w:szCs w:val="20"/>
          <w14:ligatures w14:val="none"/>
        </w:rPr>
        <w:footnoteReference w:id="3"/>
      </w:r>
      <w:r w:rsidRPr="00362751">
        <w:rPr>
          <w:rFonts w:ascii="Arial" w:eastAsia="Times New Roman" w:hAnsi="Arial" w:cs="Arial"/>
          <w:kern w:val="0"/>
          <w:sz w:val="20"/>
          <w:szCs w:val="20"/>
          <w14:ligatures w14:val="none"/>
        </w:rPr>
        <w:t xml:space="preserve"> Les citoyens sont en droit de s'attendre à ce que les gouvernements utilisent les fonds publics de manière efficiente, respectent les lois et les règlements applicables, gèrent efficacement les risques existants et émergents et fournissent des services permettant d'atteindre les résultats attendus. L'audit interne contribue directement à chacun de ces objectifs.</w:t>
      </w:r>
    </w:p>
    <w:p w14:paraId="2B863E77" w14:textId="7385FECC" w:rsidR="00362751" w:rsidRPr="00781770" w:rsidRDefault="00362751" w:rsidP="00781770">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outre, des fonctions d'audit interne solides peuvent contribuer à améliorer la prise de décision, à accroître la performance des programmes et à aider les gouvernements à atteindre plus efficacement leurs objectifs stratégiques. En évaluant à la fois la conformité et l'efficacité organisationnelle, les auditeurs internes contribuent à de meilleurs résultats pour les citoyens et au renforcement des institutions publiques. Fondamentalement, l'audit interne devrait être considéré comme un outil stratégique essentiel permettant de renforcer la confiance du public et de favoriser l'efficacité des gouvernements.</w:t>
      </w:r>
    </w:p>
    <w:p w14:paraId="15B9E7F0" w14:textId="40663183" w:rsidR="00362751" w:rsidRPr="00362751" w:rsidRDefault="00362751" w:rsidP="00362751">
      <w:pPr>
        <w:spacing w:after="0" w:line="240" w:lineRule="auto"/>
        <w:rPr>
          <w:rFonts w:ascii="Arial" w:eastAsia="Times New Roman" w:hAnsi="Arial" w:cs="Arial"/>
          <w:kern w:val="0"/>
          <w:sz w:val="20"/>
          <w:szCs w:val="20"/>
          <w14:ligatures w14:val="none"/>
        </w:rPr>
      </w:pPr>
      <w:r w:rsidRPr="00362751">
        <w:rPr>
          <w:rFonts w:ascii="Arial" w:eastAsia="Times New Roman" w:hAnsi="Arial" w:cs="Arial"/>
          <w:b/>
          <w:bCs/>
          <w:kern w:val="0"/>
          <w:sz w:val="20"/>
          <w:szCs w:val="20"/>
          <w14:ligatures w14:val="none"/>
        </w:rPr>
        <w:t>Deuxièmement, des fonctions d'audit interne indépendantes sont essentielles à une bonne gouvernance.</w:t>
      </w:r>
    </w:p>
    <w:p w14:paraId="1803A986" w14:textId="6492532D"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Toute organisation, y compris les gouvernements et les organisations du secteur public, devrait disposer d'un solide cadre de gouvernance comprenant un organe de gouvernance, une équipe de direction et son personnel, ainsi qu'une fonction d'audit interne. Comme l'explique </w:t>
      </w:r>
      <w:hyperlink r:id="rId9" w:history="1">
        <w:r w:rsidRPr="00362751">
          <w:rPr>
            <w:rStyle w:val="Hyperlink"/>
            <w:rFonts w:ascii="Arial" w:eastAsia="Times New Roman" w:hAnsi="Arial" w:cs="Arial"/>
            <w:kern w:val="0"/>
            <w:sz w:val="20"/>
            <w:szCs w:val="20"/>
            <w14:ligatures w14:val="none"/>
          </w:rPr>
          <w:t>le Modèle des trois lignes</w:t>
        </w:r>
      </w:hyperlink>
      <w:r w:rsidRPr="00362751">
        <w:rPr>
          <w:rFonts w:ascii="Arial" w:eastAsia="Times New Roman" w:hAnsi="Arial" w:cs="Arial"/>
          <w:kern w:val="0"/>
          <w:sz w:val="20"/>
          <w:szCs w:val="20"/>
          <w14:ligatures w14:val="none"/>
        </w:rPr>
        <w:t xml:space="preserve"> de L'IIA, ces trois composantes contribuent ensemble à une gouvernance solide et à une gestion efficace des risques tout en favorisant l'atteinte des objectifs de l'organisation.</w:t>
      </w:r>
    </w:p>
    <w:p w14:paraId="5F8B2A2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L'organe de gouvernance assure la supervision, l'orientation, la reddition de comptes et la gestion responsable de l'organisation. L'équipe de direction et son personnel sont chargés d'exécuter les activités </w:t>
      </w:r>
      <w:r w:rsidRPr="00362751">
        <w:rPr>
          <w:rFonts w:ascii="Arial" w:eastAsia="Times New Roman" w:hAnsi="Arial" w:cs="Arial"/>
          <w:kern w:val="0"/>
          <w:sz w:val="20"/>
          <w:szCs w:val="20"/>
          <w14:ligatures w14:val="none"/>
        </w:rPr>
        <w:lastRenderedPageBreak/>
        <w:t>de l'organisation et d'obtenir des résultats conformément aux orientations de l'organe de gouvernance. Quant à la fonction d'audit interne, elle fournit une assurance objective et des services de conseil stratégiques qui renforcent la valeur globale et la réussite de l'organisation. Si l'une de ces trois composantes est absente ou inadéquatement conçue, l'organisation est beaucoup moins susceptible d'atteindre ses objectifs.</w:t>
      </w:r>
    </w:p>
    <w:p w14:paraId="312A767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b/>
          <w:bCs/>
          <w:kern w:val="0"/>
          <w:sz w:val="20"/>
          <w:szCs w:val="20"/>
          <w14:ligatures w14:val="none"/>
        </w:rPr>
        <w:t>Troisièmement, l'audit interne du secteur public devrait s'appuyer sur un cadre de référence commun, reconnu à l'échelle mondiale, comprenant des normes professionnelles.</w:t>
      </w:r>
    </w:p>
    <w:p w14:paraId="4510590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Une telle approche favorise la cohérence, la qualité, le professionnalisme et la confiance du public. Elle évite également aux gouvernements les coûts permanents et les efforts redondants liés à l'élaboration et à la mise à jour de leurs propres lignes directrices exhaustives et de leurs propres pratiques exemplaires à l'intention des auditeurs internes de leur pays.</w:t>
      </w:r>
    </w:p>
    <w:p w14:paraId="1F341D30" w14:textId="41775FB6"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Cadre de référence international des pratiques professionnelles (CRIPP), y compris les Normes internationales d'audit interne (GIAS), constitue le cadre de référence mondial de la profession d'audit interne. Il est élaboré et maintenu sous la supervision de l'IPPF Oversight Council, un comité de L'IIA composé de représentants d'un ensemble diversifié d'organisations non gouvernementales et d'associations professionnelles internationales, dont la mission est d'assurer le respect d'un processus rigoureux, la qualité ainsi que l'élaboration de normes et de lignes directrices servant l'intérêt général.</w:t>
      </w:r>
      <w:r>
        <w:rPr>
          <w:rStyle w:val="FootnoteReference"/>
          <w:rFonts w:ascii="Arial" w:eastAsia="Times New Roman" w:hAnsi="Arial" w:cs="Arial"/>
          <w:kern w:val="0"/>
          <w:sz w:val="20"/>
          <w:szCs w:val="20"/>
          <w14:ligatures w14:val="none"/>
        </w:rPr>
        <w:footnoteReference w:id="4"/>
      </w:r>
    </w:p>
    <w:p w14:paraId="0681F2AA" w14:textId="768CE007" w:rsidR="00362751" w:rsidRPr="00781770" w:rsidRDefault="00362751" w:rsidP="00781770">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sont le mieux servis lorsqu'ils adoptent le CRIPP, y compris les GIAS, comme cadre de référence applicable aux auditeurs internes de leur pays, tout en permettant également l'utilisation d'autres cadres et normes spécialisés complémentaires (par exemple en matière de cybersécurité ou de gestion des finances publiques), pourvu qu'ils demeurent harmonisés avec le CRIPP, y compris les GIAS.</w:t>
      </w:r>
    </w:p>
    <w:p w14:paraId="193AB2CD" w14:textId="0AA8BDB1" w:rsidR="00362751" w:rsidRPr="00362751" w:rsidRDefault="00362751" w:rsidP="00362751">
      <w:pPr>
        <w:spacing w:after="0" w:line="240" w:lineRule="auto"/>
        <w:rPr>
          <w:rFonts w:ascii="Arial" w:eastAsia="Times New Roman" w:hAnsi="Arial" w:cs="Arial"/>
          <w:kern w:val="0"/>
          <w:sz w:val="20"/>
          <w:szCs w:val="20"/>
          <w14:ligatures w14:val="none"/>
        </w:rPr>
      </w:pPr>
      <w:r w:rsidRPr="00362751">
        <w:rPr>
          <w:rFonts w:ascii="Arial" w:eastAsia="Times New Roman" w:hAnsi="Arial" w:cs="Arial"/>
          <w:b/>
          <w:bCs/>
          <w:kern w:val="0"/>
          <w:sz w:val="20"/>
          <w:szCs w:val="20"/>
          <w14:ligatures w14:val="none"/>
        </w:rPr>
        <w:t>Quatrièmement, les fonctions d'audit interne du secteur public doivent continuellement évoluer afin de répondre aux risques émergents.</w:t>
      </w:r>
    </w:p>
    <w:p w14:paraId="7BEA2DFF"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L'environnement des risques auquel les gouvernements sont confrontés évolue rapidement. Les organisations du secteur public doivent de plus en plus composer avec les défis liés à l'instabilité géopolitique, aux cybermenaces, à l'intelligence artificielle (IA), à l'informatique en nuage (</w:t>
      </w:r>
      <w:r w:rsidRPr="00362751">
        <w:rPr>
          <w:rFonts w:ascii="Arial" w:eastAsia="Times New Roman" w:hAnsi="Arial" w:cs="Arial"/>
          <w:i/>
          <w:iCs/>
          <w:kern w:val="0"/>
          <w:sz w:val="20"/>
          <w:szCs w:val="20"/>
          <w14:ligatures w14:val="none"/>
        </w:rPr>
        <w:t>cloud computing</w:t>
      </w:r>
      <w:r w:rsidRPr="00362751">
        <w:rPr>
          <w:rFonts w:ascii="Arial" w:eastAsia="Times New Roman" w:hAnsi="Arial" w:cs="Arial"/>
          <w:kern w:val="0"/>
          <w:sz w:val="20"/>
          <w:szCs w:val="20"/>
          <w14:ligatures w14:val="none"/>
        </w:rPr>
        <w:t>), à la protection des renseignements personnels et à la gouvernance des données, à la transformation numérique, à l'informatique quantique, à la résilience des infrastructures critiques, aux risques liés au climat, aux perturbations des chaînes d'approvisionnement ainsi qu'aux urgences de santé publique.</w:t>
      </w:r>
    </w:p>
    <w:p w14:paraId="61F3936F"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Afin de répondre efficacement à ces défis, les fonctions d'audit interne doivent disposer de l'autorité, des compétences, des ressources et des capacités technologiques nécessaires pour évaluer ces risques et fournir une assurance ainsi que des services de conseil utiles. Les gouvernements devraient investir de façon continue dans la modernisation des capacités de l'audit interne, notamment en matière d'analytique de données, d'audit de la cybersécurité, d'audit de l'intelligence artificielle et d'évolution des méthodes d'évaluation des risques.</w:t>
      </w:r>
    </w:p>
    <w:p w14:paraId="1C23CED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b/>
          <w:bCs/>
          <w:kern w:val="0"/>
          <w:sz w:val="20"/>
          <w:szCs w:val="20"/>
          <w14:ligatures w14:val="none"/>
        </w:rPr>
        <w:t>Cinquièmement, un audit interne efficace dans le secteur public sert l'intérêt général.</w:t>
      </w:r>
    </w:p>
    <w:p w14:paraId="24C25F8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Contrairement à de nombreuses organisations du secteur privé, les institutions publiques existent pour faire progresser des objectifs sociétaux, fournir des services publics, protéger les ressources publiques et </w:t>
      </w:r>
      <w:r w:rsidRPr="00362751">
        <w:rPr>
          <w:rFonts w:ascii="Arial" w:eastAsia="Times New Roman" w:hAnsi="Arial" w:cs="Arial"/>
          <w:kern w:val="0"/>
          <w:sz w:val="20"/>
          <w:szCs w:val="20"/>
          <w14:ligatures w14:val="none"/>
        </w:rPr>
        <w:lastRenderedPageBreak/>
        <w:t>faire respecter la primauté du droit. L'audit interne contribue à ces objectifs en favorisant la reddition de comptes, la transparence, la conduite éthique et une gouvernance efficace.</w:t>
      </w:r>
    </w:p>
    <w:p w14:paraId="4FD68C1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Il importe de souligner que l'audit interne ne sert ni des intérêts politiques ou partisans ni des intérêts institutionnels particuliers. Il sert plutôt les citoyens en aidant les gouvernements à atteindre leurs objectifs de manière efficace, efficiente, éthique et responsable.</w:t>
      </w:r>
    </w:p>
    <w:p w14:paraId="63AD47E8" w14:textId="77777777" w:rsidR="00FB33EF" w:rsidRDefault="00FB33EF" w:rsidP="00362751">
      <w:pPr>
        <w:spacing w:after="0" w:line="240" w:lineRule="auto"/>
        <w:rPr>
          <w:rFonts w:ascii="Arial" w:eastAsia="Times New Roman" w:hAnsi="Arial" w:cs="Arial"/>
          <w:b/>
          <w:bCs/>
          <w:i/>
          <w:iCs/>
          <w:color w:val="70AD47" w:themeColor="accent6"/>
          <w:kern w:val="36"/>
          <w:sz w:val="28"/>
          <w:szCs w:val="28"/>
          <w14:ligatures w14:val="none"/>
        </w:rPr>
      </w:pPr>
    </w:p>
    <w:p w14:paraId="61D05216" w14:textId="57FEC3E0" w:rsidR="00362751" w:rsidRPr="00781770" w:rsidRDefault="00362751" w:rsidP="00362751">
      <w:pPr>
        <w:spacing w:after="0" w:line="240" w:lineRule="auto"/>
        <w:rPr>
          <w:rFonts w:ascii="Arial" w:eastAsia="Times New Roman" w:hAnsi="Arial" w:cs="Arial"/>
          <w:i/>
          <w:iCs/>
          <w:color w:val="70AD47" w:themeColor="accent6"/>
          <w:kern w:val="0"/>
          <w:sz w:val="28"/>
          <w:szCs w:val="28"/>
          <w14:ligatures w14:val="none"/>
        </w:rPr>
      </w:pPr>
      <w:r w:rsidRPr="00781770">
        <w:rPr>
          <w:rFonts w:ascii="Arial" w:eastAsia="Times New Roman" w:hAnsi="Arial" w:cs="Arial"/>
          <w:b/>
          <w:bCs/>
          <w:i/>
          <w:iCs/>
          <w:color w:val="70AD47" w:themeColor="accent6"/>
          <w:kern w:val="36"/>
          <w:sz w:val="28"/>
          <w:szCs w:val="28"/>
          <w14:ligatures w14:val="none"/>
        </w:rPr>
        <w:t>Définitions clés, relations importantes avec les parties prenantes et principaux défis auxquels sont confrontés les auditeurs internes du secteur public</w:t>
      </w:r>
    </w:p>
    <w:p w14:paraId="0FEA0E6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Afin de bien comprendre les recommandations formulées dans le présent document, il est important d'établir une compréhension commune de ce que L'IIA entend par « secteur public », ainsi que de la manière dont la profession définit « l'audit interne ».</w:t>
      </w:r>
    </w:p>
    <w:p w14:paraId="21375B4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outre, les décideurs publics devraient comprendre les relations entre les auditeurs internes et les autres principales parties prenantes, ainsi que les défis particuliers auxquels les auditeurs internes du secteur public sont actuellement confrontés.</w:t>
      </w:r>
    </w:p>
    <w:p w14:paraId="1B0D9512" w14:textId="731C849D" w:rsidR="00362751" w:rsidRDefault="00362751" w:rsidP="00362751">
      <w:pPr>
        <w:spacing w:after="0" w:line="240" w:lineRule="auto"/>
        <w:rPr>
          <w:rFonts w:ascii="Arial" w:eastAsia="Times New Roman" w:hAnsi="Arial" w:cs="Arial"/>
          <w:kern w:val="0"/>
          <w:sz w:val="20"/>
          <w:szCs w:val="20"/>
          <w14:ligatures w14:val="none"/>
        </w:rPr>
      </w:pPr>
      <w:r w:rsidRPr="00362751">
        <w:rPr>
          <w:rFonts w:ascii="Arial" w:eastAsia="Times New Roman" w:hAnsi="Arial" w:cs="Arial"/>
          <w:b/>
          <w:bCs/>
          <w:kern w:val="0"/>
          <w:sz w:val="20"/>
          <w:szCs w:val="20"/>
          <w14:ligatures w14:val="none"/>
        </w:rPr>
        <w:t>Définition du « secteur public »</w:t>
      </w:r>
    </w:p>
    <w:p w14:paraId="2B470D25" w14:textId="6EC1C774"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Aux fins du présent document, le terme « secteur public » désigne l'ensemble des entités gouvernementales et des organismes sous contrôle public qui sont responsables de la gestion des ressources publiques, auxquelles sont confiées des responsabilités publiques et qui fournissent des services ayant une incidence directe sur les citoyens. Plus largement, ces organisations existent pour servir l'intérêt général plutôt que pour générer des profits au bénéfice de propriétaires privés.</w:t>
      </w:r>
    </w:p>
    <w:p w14:paraId="5FD00B0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Selon les ressorts, les organisations du secteur public comprennent notamment :</w:t>
      </w:r>
    </w:p>
    <w:p w14:paraId="4B43C311"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gouvernements nationaux ainsi que leurs ministères, départements et organismes; </w:t>
      </w:r>
    </w:p>
    <w:p w14:paraId="019F2D82"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gouvernements provinciaux, étatiques, régionaux ou territoriaux; </w:t>
      </w:r>
    </w:p>
    <w:p w14:paraId="52A18EE5"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administrations municipales et locales; </w:t>
      </w:r>
    </w:p>
    <w:p w14:paraId="1AF3C9A7"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organes législatifs, les organismes de réglementation et les autorités judiciaires; </w:t>
      </w:r>
    </w:p>
    <w:p w14:paraId="158BBE2C"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entreprises publiques et les sociétés d'État; </w:t>
      </w:r>
    </w:p>
    <w:p w14:paraId="2D0B61CC"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caisses de retraite publiques et les fonds souverains; </w:t>
      </w:r>
    </w:p>
    <w:p w14:paraId="28B39159"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universités et autres établissements publics d'enseignement; </w:t>
      </w:r>
    </w:p>
    <w:p w14:paraId="0BDBCCB1"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hôpitaux publics et les organismes de soins de santé; </w:t>
      </w:r>
    </w:p>
    <w:p w14:paraId="0A484F1D"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services publics ainsi que les autres organisations et entreprises publiques responsables d'infrastructures critiques; </w:t>
      </w:r>
    </w:p>
    <w:p w14:paraId="130FB07A"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services policiers, les forces armées et les services d'urgence; </w:t>
      </w:r>
    </w:p>
    <w:p w14:paraId="5BF200D9" w14:textId="77777777" w:rsidR="00362751" w:rsidRPr="00362751" w:rsidRDefault="00362751" w:rsidP="00362751">
      <w:pPr>
        <w:numPr>
          <w:ilvl w:val="0"/>
          <w:numId w:val="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toute autre entité détenue, contrôlée ou financée, en totalité ou en grande partie, par un gouvernement.</w:t>
      </w:r>
    </w:p>
    <w:p w14:paraId="65B5D1D4" w14:textId="77777777" w:rsidR="00362751" w:rsidRPr="00362751" w:rsidRDefault="00362751" w:rsidP="00362751">
      <w:pPr>
        <w:spacing w:before="100" w:beforeAutospacing="1" w:after="100" w:afterAutospacing="1" w:line="240" w:lineRule="auto"/>
        <w:outlineLvl w:val="0"/>
        <w:rPr>
          <w:rFonts w:ascii="Arial" w:eastAsia="Times New Roman" w:hAnsi="Arial" w:cs="Arial"/>
          <w:b/>
          <w:bCs/>
          <w:kern w:val="36"/>
          <w:sz w:val="20"/>
          <w:szCs w:val="20"/>
          <w14:ligatures w14:val="none"/>
        </w:rPr>
      </w:pPr>
      <w:r w:rsidRPr="00362751">
        <w:rPr>
          <w:rFonts w:ascii="Arial" w:eastAsia="Times New Roman" w:hAnsi="Arial" w:cs="Arial"/>
          <w:b/>
          <w:bCs/>
          <w:kern w:val="36"/>
          <w:sz w:val="20"/>
          <w:szCs w:val="20"/>
          <w14:ligatures w14:val="none"/>
        </w:rPr>
        <w:t>Définition de « l'audit interne »</w:t>
      </w:r>
    </w:p>
    <w:p w14:paraId="0B3F9CB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w:t>
      </w:r>
      <w:r w:rsidRPr="00781770">
        <w:rPr>
          <w:rFonts w:ascii="Arial" w:eastAsia="Times New Roman" w:hAnsi="Arial" w:cs="Arial"/>
          <w:kern w:val="0"/>
          <w:sz w:val="20"/>
          <w:szCs w:val="20"/>
          <w14:ligatures w14:val="none"/>
        </w:rPr>
        <w:t>Normes internationales d'audit interne (GIAS) définissent</w:t>
      </w:r>
      <w:r w:rsidRPr="00362751">
        <w:rPr>
          <w:rFonts w:ascii="Arial" w:eastAsia="Times New Roman" w:hAnsi="Arial" w:cs="Arial"/>
          <w:kern w:val="0"/>
          <w:sz w:val="20"/>
          <w:szCs w:val="20"/>
          <w14:ligatures w14:val="none"/>
        </w:rPr>
        <w:t xml:space="preserve"> l'audit interne comme suit :</w:t>
      </w:r>
    </w:p>
    <w:p w14:paraId="25AE8D17" w14:textId="19F9D9E3" w:rsidR="00362751" w:rsidRPr="002F6F1C" w:rsidRDefault="002F6F1C" w:rsidP="002F6F1C">
      <w:pPr>
        <w:spacing w:after="0" w:line="240" w:lineRule="auto"/>
        <w:ind w:left="720"/>
        <w:rPr>
          <w:rFonts w:ascii="Arial" w:hAnsi="Arial" w:cs="Arial"/>
          <w:i/>
          <w:iCs/>
          <w:color w:val="00B0F0"/>
          <w:sz w:val="20"/>
          <w:szCs w:val="20"/>
        </w:rPr>
      </w:pPr>
      <w:r w:rsidRPr="002F6F1C">
        <w:rPr>
          <w:rFonts w:ascii="Arial" w:hAnsi="Arial" w:cs="Arial"/>
          <w:i/>
          <w:iCs/>
          <w:color w:val="00B0F0"/>
          <w:sz w:val="20"/>
          <w:szCs w:val="20"/>
        </w:rPr>
        <w:t xml:space="preserve">Service d’assurance et de conseil indépendant et objectif conçu pour créer de la valeur et améliorer les opérations d’une organisation. Il aide cette organisation à atteindre ses objectifs, en </w:t>
      </w:r>
      <w:r w:rsidRPr="002F6F1C">
        <w:rPr>
          <w:rFonts w:ascii="Arial" w:hAnsi="Arial" w:cs="Arial"/>
          <w:i/>
          <w:iCs/>
          <w:color w:val="00B0F0"/>
          <w:sz w:val="20"/>
          <w:szCs w:val="20"/>
        </w:rPr>
        <w:lastRenderedPageBreak/>
        <w:t>adoptant une approche systématique et rigoureuse pour évaluer et améliorer l’efficacité des processus de gouvernance, de gestion des risques et de contrôle</w:t>
      </w:r>
    </w:p>
    <w:p w14:paraId="4A3E5CA0" w14:textId="77777777" w:rsidR="002F6F1C" w:rsidRDefault="002F6F1C" w:rsidP="00362751">
      <w:pPr>
        <w:spacing w:after="0" w:line="240" w:lineRule="auto"/>
        <w:rPr>
          <w:rFonts w:ascii="Arial" w:eastAsia="Times New Roman" w:hAnsi="Arial" w:cs="Arial"/>
          <w:kern w:val="0"/>
          <w:sz w:val="20"/>
          <w:szCs w:val="20"/>
          <w14:ligatures w14:val="none"/>
        </w:rPr>
      </w:pPr>
    </w:p>
    <w:p w14:paraId="3DA010B3" w14:textId="252C0AFF" w:rsidR="00362751" w:rsidRPr="00362751" w:rsidRDefault="00362751" w:rsidP="00362751">
      <w:pPr>
        <w:spacing w:after="0"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L'audit interne est parfois perçu à tort comme une simple fonction de conformité ou comme une activité de vérification financière. Bien que la conformité et l'assurance relative à l'information financière puissent constituer des composantes importantes des travaux d'audit interne, le rôle de la profession est beaucoup plus vaste.</w:t>
      </w:r>
    </w:p>
    <w:p w14:paraId="40AD836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fonctions modernes d'audit interne évaluent notamment :</w:t>
      </w:r>
    </w:p>
    <w:p w14:paraId="5B963711"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processus de gouvernance; </w:t>
      </w:r>
    </w:p>
    <w:p w14:paraId="2CCB79AB"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pratiques de gestion des risques; </w:t>
      </w:r>
    </w:p>
    <w:p w14:paraId="15075D94"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systèmes de contrôles internes; </w:t>
      </w:r>
    </w:p>
    <w:p w14:paraId="569DC30B"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l'efficacité opérationnelle; </w:t>
      </w:r>
    </w:p>
    <w:p w14:paraId="7D505363"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gouvernance des technologies; </w:t>
      </w:r>
    </w:p>
    <w:p w14:paraId="0D9BE75E"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contrôles de cybersécurité; </w:t>
      </w:r>
    </w:p>
    <w:p w14:paraId="3107B1EE"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risques de fraude; </w:t>
      </w:r>
    </w:p>
    <w:p w14:paraId="0F41B475"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performance des programmes; </w:t>
      </w:r>
    </w:p>
    <w:p w14:paraId="66B49A6F"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culture organisationnelle et l'éthique; </w:t>
      </w:r>
    </w:p>
    <w:p w14:paraId="39957B6D" w14:textId="77777777" w:rsidR="00362751" w:rsidRPr="00362751" w:rsidRDefault="00362751" w:rsidP="00362751">
      <w:pPr>
        <w:numPr>
          <w:ilvl w:val="0"/>
          <w:numId w:val="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initiatives stratégiques et les projets de transformation. </w:t>
      </w:r>
    </w:p>
    <w:p w14:paraId="36ACDC0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Un audit interne efficace fournit aux décideurs des analyses et des perspectives indépendantes qui favorisent une meilleure gouvernance et une meilleure performance organisationnelle.</w:t>
      </w:r>
    </w:p>
    <w:p w14:paraId="3E7F4D3F" w14:textId="34C33D95" w:rsidR="00362751" w:rsidRDefault="00362751" w:rsidP="00362751">
      <w:pPr>
        <w:spacing w:after="0" w:line="240" w:lineRule="auto"/>
        <w:rPr>
          <w:rFonts w:ascii="Arial" w:eastAsia="Times New Roman" w:hAnsi="Arial" w:cs="Arial"/>
          <w:kern w:val="0"/>
          <w:sz w:val="20"/>
          <w:szCs w:val="20"/>
          <w14:ligatures w14:val="none"/>
        </w:rPr>
      </w:pPr>
      <w:r w:rsidRPr="00362751">
        <w:rPr>
          <w:rFonts w:ascii="Arial" w:eastAsia="Times New Roman" w:hAnsi="Arial" w:cs="Arial"/>
          <w:b/>
          <w:bCs/>
          <w:kern w:val="36"/>
          <w:sz w:val="20"/>
          <w:szCs w:val="20"/>
          <w14:ligatures w14:val="none"/>
        </w:rPr>
        <w:t>Relations importantes avec les parties prenantes</w:t>
      </w:r>
    </w:p>
    <w:p w14:paraId="221B0D4D" w14:textId="72D3B2CD"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Bien que l'audit interne constitue un élément essentiel de l'écosystème de reddition de comptes du secteur public, il ne représente qu'un des nombreux mécanismes d'assurance, de supervision et de reddition de comptes. Les organismes de supervision externes jouent un rôle complémentaire, mais distinct.</w:t>
      </w:r>
    </w:p>
    <w:p w14:paraId="02DA0C5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institutions supérieures de contrôle des finances publiques (ISC), les vérificateurs généraux, les contrôleurs généraux et les cours des comptes, entre autres, exercent généralement leurs fonctions indépendamment des entités qu'ils examinent et rendent compte aux assemblées législatives, aux citoyens (par l'intermédiaire des élections) ou à d'autres autorités constitutionnelles, plutôt qu'à la direction. Ces organismes fournissent une assurance externe concernant la gestion responsable des ressources publiques, le respect des lois et des règlements, l'information financière et, dans de nombreux ressorts, l'efficacité et l'efficience des programmes gouvernementaux. Leurs travaux contribuent à promouvoir la transparence et la reddition de comptes dans l'ensemble de l'administration publique.</w:t>
      </w:r>
    </w:p>
    <w:p w14:paraId="0217C5B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Même si les auditeurs internes et les organismes de supervision externes peuvent examiner des sujets semblables, leurs mandats sont différents. Les auditeurs internes sont intégrés à leur organisation et fournissent, tout au long de l'année, une assurance et des services de conseil fondés sur les risques. Les organismes de supervision externes, pour leur part, réalisent généralement des examens et des audits périodiques à partir d'une position indépendante de l'organisation. Une coordination efficace entre les fonctions d'audit interne et les organismes de supervision externes permet de réduire les chevauchements, d'améliorer la couverture des audits et de renforcer l'efficacité globale des mécanismes de reddition de comptes du secteur public.</w:t>
      </w:r>
    </w:p>
    <w:p w14:paraId="4B688053"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 xml:space="preserve">Des cabinets d'expertise comptable indépendants peuvent également faire partie du dispositif d'assurance du secteur public. Dans certains ressorts, les gouvernements, les autorités publiques, les sociétés d'État, les caisses de retraite publiques ou les fonds souverains retiennent les services de cabinets comptables externes afin de réaliser des audits des états financiers ou d'autres missions spécialisées d'assurance. Ces cabinets offrent un niveau supplémentaire d'assurance externe </w:t>
      </w:r>
      <w:r w:rsidRPr="00362751">
        <w:rPr>
          <w:rFonts w:ascii="Arial" w:hAnsi="Arial" w:cs="Arial"/>
          <w:sz w:val="20"/>
          <w:szCs w:val="20"/>
        </w:rPr>
        <w:lastRenderedPageBreak/>
        <w:t>indépendante, sans toutefois remplacer le rôle de la fonction d'audit interne ni les responsabilités des institutions de contrôle du secteur public.</w:t>
      </w:r>
    </w:p>
    <w:p w14:paraId="030FC0C8"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Ensemble, les auditeurs internes, les organismes de contrôle externe du secteur public et les fournisseurs de services d'assurance sous contrat forment un système de reddition de comptes dont les composantes se renforcent mutuellement. L'audit interne constitue la première source d'assurance indépendante au sein de l'organisation, tandis que les auditeurs externes assurent un examen indépendant à partir de l'extérieur de l'organisation. Lorsque ces fonctions exercent leurs activités efficacement et coordonnent leurs travaux de manière appropriée, elles contribuent à de meilleurs résultats pour l'ensemble des citoyens.</w:t>
      </w:r>
    </w:p>
    <w:p w14:paraId="464B7157" w14:textId="77777777" w:rsidR="00362751" w:rsidRPr="00362751" w:rsidRDefault="00362751" w:rsidP="00362751">
      <w:pPr>
        <w:spacing w:before="100" w:beforeAutospacing="1" w:after="100" w:afterAutospacing="1" w:line="240" w:lineRule="auto"/>
        <w:outlineLvl w:val="0"/>
        <w:rPr>
          <w:rFonts w:ascii="Arial" w:eastAsia="Times New Roman" w:hAnsi="Arial" w:cs="Arial"/>
          <w:b/>
          <w:bCs/>
          <w:kern w:val="36"/>
          <w:sz w:val="20"/>
          <w:szCs w:val="20"/>
          <w14:ligatures w14:val="none"/>
        </w:rPr>
      </w:pPr>
      <w:r w:rsidRPr="00362751">
        <w:rPr>
          <w:rFonts w:ascii="Arial" w:eastAsia="Times New Roman" w:hAnsi="Arial" w:cs="Arial"/>
          <w:b/>
          <w:bCs/>
          <w:kern w:val="36"/>
          <w:sz w:val="20"/>
          <w:szCs w:val="20"/>
          <w14:ligatures w14:val="none"/>
        </w:rPr>
        <w:t>Principaux défis auxquels sont confrontées les fonctions d'audit interne du secteur public</w:t>
      </w:r>
    </w:p>
    <w:p w14:paraId="5747E0B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fonctions d'audit interne du secteur public sont aujourd'hui confrontées à plusieurs défis importants. Les décideurs publics devraient reconnaître ces défis et examiner les moyens de les atténuer lorsqu'ils élaborent ou modernisent leur cadre législatif et réglementaire applicable à l'audit interne dans le secteur public.</w:t>
      </w:r>
    </w:p>
    <w:p w14:paraId="7B84723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Parmi les principaux défis figurent les suivants :</w:t>
      </w:r>
    </w:p>
    <w:p w14:paraId="54D32C82" w14:textId="77777777" w:rsidR="00362751" w:rsidRDefault="00362751" w:rsidP="00362751">
      <w:pPr>
        <w:pStyle w:val="ListParagraph"/>
        <w:numPr>
          <w:ilvl w:val="0"/>
          <w:numId w:val="25"/>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Indépendance insuffisante</w:t>
      </w:r>
    </w:p>
    <w:p w14:paraId="0FCA3353" w14:textId="32C5441F" w:rsidR="00362751" w:rsidRDefault="00362751" w:rsidP="00362751">
      <w:pPr>
        <w:pStyle w:val="ListParagraph"/>
        <w:spacing w:before="100" w:beforeAutospacing="1" w:after="100" w:afterAutospacing="1" w:line="240" w:lineRule="auto"/>
        <w:outlineLvl w:val="2"/>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auditeurs internes peuvent être soumis à des pressions réelles ou perçues de la part de dirigeants politiques, de la direction ou d'autres parties prenantes.</w:t>
      </w:r>
    </w:p>
    <w:p w14:paraId="169377EA" w14:textId="77777777" w:rsidR="00362751" w:rsidRPr="00362751" w:rsidRDefault="00362751" w:rsidP="00362751">
      <w:pPr>
        <w:pStyle w:val="ListParagraph"/>
        <w:spacing w:before="100" w:beforeAutospacing="1" w:after="100" w:afterAutospacing="1" w:line="240" w:lineRule="auto"/>
        <w:outlineLvl w:val="2"/>
        <w:rPr>
          <w:rFonts w:ascii="Arial" w:eastAsia="Times New Roman" w:hAnsi="Arial" w:cs="Arial"/>
          <w:b/>
          <w:bCs/>
          <w:color w:val="00B0F0"/>
          <w:kern w:val="0"/>
          <w:sz w:val="20"/>
          <w:szCs w:val="20"/>
          <w14:ligatures w14:val="none"/>
        </w:rPr>
      </w:pPr>
    </w:p>
    <w:p w14:paraId="12585EAC" w14:textId="77777777" w:rsidR="00362751" w:rsidRDefault="00362751" w:rsidP="00362751">
      <w:pPr>
        <w:pStyle w:val="ListParagraph"/>
        <w:numPr>
          <w:ilvl w:val="0"/>
          <w:numId w:val="25"/>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Contraintes en matière de ressources</w:t>
      </w:r>
    </w:p>
    <w:p w14:paraId="6968CE14" w14:textId="7B840247" w:rsidR="00362751" w:rsidRDefault="00362751" w:rsidP="00362751">
      <w:pPr>
        <w:pStyle w:val="ListParagraph"/>
        <w:spacing w:before="100" w:beforeAutospacing="1" w:after="100" w:afterAutospacing="1" w:line="240" w:lineRule="auto"/>
        <w:outlineLvl w:val="2"/>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De nombreuses fonctions d'audit interne ne disposent pas d'effectifs, de technologies, de possibilités de formation ou de ressources financières suffisants.</w:t>
      </w:r>
    </w:p>
    <w:p w14:paraId="7756561A" w14:textId="77777777" w:rsidR="00362751" w:rsidRPr="00362751" w:rsidRDefault="00362751" w:rsidP="00362751">
      <w:pPr>
        <w:pStyle w:val="ListParagraph"/>
        <w:spacing w:before="100" w:beforeAutospacing="1" w:after="100" w:afterAutospacing="1" w:line="240" w:lineRule="auto"/>
        <w:outlineLvl w:val="2"/>
        <w:rPr>
          <w:rFonts w:ascii="Arial" w:eastAsia="Times New Roman" w:hAnsi="Arial" w:cs="Arial"/>
          <w:b/>
          <w:bCs/>
          <w:color w:val="00B0F0"/>
          <w:kern w:val="0"/>
          <w:sz w:val="20"/>
          <w:szCs w:val="20"/>
          <w14:ligatures w14:val="none"/>
        </w:rPr>
      </w:pPr>
    </w:p>
    <w:p w14:paraId="22E7E9FF" w14:textId="77777777" w:rsidR="00362751" w:rsidRDefault="00362751" w:rsidP="00362751">
      <w:pPr>
        <w:pStyle w:val="ListParagraph"/>
        <w:numPr>
          <w:ilvl w:val="0"/>
          <w:numId w:val="25"/>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Structures de gouvernance inadéquates</w:t>
      </w:r>
    </w:p>
    <w:p w14:paraId="24CF1247" w14:textId="6216E1F9" w:rsidR="00362751" w:rsidRDefault="00362751" w:rsidP="00362751">
      <w:pPr>
        <w:pStyle w:val="ListParagraph"/>
        <w:spacing w:before="100" w:beforeAutospacing="1" w:after="100" w:afterAutospacing="1" w:line="240" w:lineRule="auto"/>
        <w:outlineLvl w:val="2"/>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Certaines organisations ne disposent pas de mécanismes de supervision appropriés, notamment de comités d'audit ou d'organes de gouvernance équivalents.</w:t>
      </w:r>
    </w:p>
    <w:p w14:paraId="0347279D" w14:textId="77777777" w:rsidR="00362751" w:rsidRPr="00362751" w:rsidRDefault="00362751" w:rsidP="00362751">
      <w:pPr>
        <w:pStyle w:val="ListParagraph"/>
        <w:spacing w:before="100" w:beforeAutospacing="1" w:after="100" w:afterAutospacing="1" w:line="240" w:lineRule="auto"/>
        <w:outlineLvl w:val="2"/>
        <w:rPr>
          <w:rFonts w:ascii="Arial" w:eastAsia="Times New Roman" w:hAnsi="Arial" w:cs="Arial"/>
          <w:b/>
          <w:bCs/>
          <w:color w:val="00B0F0"/>
          <w:kern w:val="0"/>
          <w:sz w:val="20"/>
          <w:szCs w:val="20"/>
          <w14:ligatures w14:val="none"/>
        </w:rPr>
      </w:pPr>
    </w:p>
    <w:p w14:paraId="287DB398" w14:textId="77777777" w:rsidR="00362751" w:rsidRDefault="00362751" w:rsidP="00362751">
      <w:pPr>
        <w:pStyle w:val="ListParagraph"/>
        <w:numPr>
          <w:ilvl w:val="0"/>
          <w:numId w:val="25"/>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Capacité professionnelle limitée</w:t>
      </w:r>
    </w:p>
    <w:p w14:paraId="20325088" w14:textId="45D8C801" w:rsidR="00362751" w:rsidRDefault="00362751" w:rsidP="00362751">
      <w:pPr>
        <w:pStyle w:val="ListParagraph"/>
        <w:spacing w:before="100" w:beforeAutospacing="1" w:after="100" w:afterAutospacing="1" w:line="240" w:lineRule="auto"/>
        <w:outlineLvl w:val="2"/>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Dans de nombreux ressorts, la pénurie d'auditeurs internes qualifiés demeure un défi important.</w:t>
      </w:r>
    </w:p>
    <w:p w14:paraId="6246E115" w14:textId="77777777" w:rsidR="00362751" w:rsidRPr="00362751" w:rsidRDefault="00362751" w:rsidP="00362751">
      <w:pPr>
        <w:pStyle w:val="ListParagraph"/>
        <w:spacing w:before="100" w:beforeAutospacing="1" w:after="100" w:afterAutospacing="1" w:line="240" w:lineRule="auto"/>
        <w:outlineLvl w:val="2"/>
        <w:rPr>
          <w:rFonts w:ascii="Arial" w:eastAsia="Times New Roman" w:hAnsi="Arial" w:cs="Arial"/>
          <w:b/>
          <w:bCs/>
          <w:color w:val="00B0F0"/>
          <w:kern w:val="0"/>
          <w:sz w:val="20"/>
          <w:szCs w:val="20"/>
          <w14:ligatures w14:val="none"/>
        </w:rPr>
      </w:pPr>
    </w:p>
    <w:p w14:paraId="7DB3A6F6" w14:textId="77777777" w:rsidR="00362751" w:rsidRDefault="00362751" w:rsidP="00362751">
      <w:pPr>
        <w:pStyle w:val="ListParagraph"/>
        <w:numPr>
          <w:ilvl w:val="0"/>
          <w:numId w:val="25"/>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Mise en œuvre insuffisante des recommandations d'audit</w:t>
      </w:r>
    </w:p>
    <w:p w14:paraId="7DDDEB33" w14:textId="7B54C26C" w:rsidR="00362751" w:rsidRDefault="00362751" w:rsidP="00362751">
      <w:pPr>
        <w:pStyle w:val="ListParagraph"/>
        <w:spacing w:before="100" w:beforeAutospacing="1" w:after="100" w:afterAutospacing="1" w:line="240" w:lineRule="auto"/>
        <w:outlineLvl w:val="2"/>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Même des travaux d'audit de grande qualité peuvent avoir une portée limitée si les recommandations formulées ne sont pas mises en œuvre.</w:t>
      </w:r>
    </w:p>
    <w:p w14:paraId="0F789F7F" w14:textId="77777777" w:rsidR="00362751" w:rsidRPr="00362751" w:rsidRDefault="00362751" w:rsidP="00362751">
      <w:pPr>
        <w:pStyle w:val="ListParagraph"/>
        <w:spacing w:before="100" w:beforeAutospacing="1" w:after="100" w:afterAutospacing="1" w:line="240" w:lineRule="auto"/>
        <w:outlineLvl w:val="2"/>
        <w:rPr>
          <w:rFonts w:ascii="Arial" w:eastAsia="Times New Roman" w:hAnsi="Arial" w:cs="Arial"/>
          <w:b/>
          <w:bCs/>
          <w:color w:val="00B0F0"/>
          <w:kern w:val="0"/>
          <w:sz w:val="20"/>
          <w:szCs w:val="20"/>
          <w14:ligatures w14:val="none"/>
        </w:rPr>
      </w:pPr>
    </w:p>
    <w:p w14:paraId="002FEF26" w14:textId="77777777" w:rsidR="00362751" w:rsidRDefault="00362751" w:rsidP="00362751">
      <w:pPr>
        <w:pStyle w:val="ListParagraph"/>
        <w:numPr>
          <w:ilvl w:val="0"/>
          <w:numId w:val="25"/>
        </w:num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Fragmentation et chevauchement</w:t>
      </w:r>
    </w:p>
    <w:p w14:paraId="7E500A9C" w14:textId="0982F64F" w:rsidR="00362751" w:rsidRPr="00362751" w:rsidRDefault="00362751" w:rsidP="00362751">
      <w:pPr>
        <w:pStyle w:val="ListParagraph"/>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kern w:val="0"/>
          <w:sz w:val="20"/>
          <w:szCs w:val="20"/>
          <w14:ligatures w14:val="none"/>
        </w:rPr>
        <w:t>Une coordination insuffisante entre les institutions responsables de la reddition de comptes peut entraîner des inefficacités et une confusion quant aux rôles et responsabilités de chacune.</w:t>
      </w:r>
    </w:p>
    <w:p w14:paraId="5FB4112F"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Ces défis peuvent réduire l'efficacité des fonctions d'audit interne et limiter considérablement leur capacité à contribuer à une gouvernance efficace dans le secteur public.</w:t>
      </w:r>
    </w:p>
    <w:p w14:paraId="2A2FB5BD" w14:textId="77777777" w:rsidR="00362751" w:rsidRDefault="00362751">
      <w:pPr>
        <w:rPr>
          <w:rFonts w:ascii="Arial" w:eastAsia="Times New Roman" w:hAnsi="Arial" w:cs="Arial"/>
          <w:b/>
          <w:bCs/>
          <w:color w:val="00B0F0"/>
          <w:kern w:val="36"/>
          <w:sz w:val="48"/>
          <w:szCs w:val="48"/>
          <w14:ligatures w14:val="none"/>
        </w:rPr>
      </w:pPr>
      <w:r>
        <w:rPr>
          <w:rFonts w:ascii="Arial" w:eastAsia="Times New Roman" w:hAnsi="Arial" w:cs="Arial"/>
          <w:b/>
          <w:bCs/>
          <w:color w:val="00B0F0"/>
          <w:kern w:val="36"/>
          <w:sz w:val="48"/>
          <w:szCs w:val="48"/>
          <w14:ligatures w14:val="none"/>
        </w:rPr>
        <w:br w:type="page"/>
      </w:r>
    </w:p>
    <w:p w14:paraId="0402890B" w14:textId="06CA39D3" w:rsidR="00362751" w:rsidRPr="00FB33EF" w:rsidRDefault="00362751" w:rsidP="00FB33EF">
      <w:pPr>
        <w:spacing w:before="100" w:beforeAutospacing="1" w:after="100" w:afterAutospacing="1" w:line="240" w:lineRule="auto"/>
        <w:outlineLvl w:val="0"/>
        <w:rPr>
          <w:rFonts w:ascii="Arial" w:eastAsia="Times New Roman" w:hAnsi="Arial" w:cs="Arial"/>
          <w:b/>
          <w:bCs/>
          <w:kern w:val="36"/>
          <w:sz w:val="48"/>
          <w:szCs w:val="48"/>
          <w14:ligatures w14:val="none"/>
        </w:rPr>
      </w:pPr>
      <w:r w:rsidRPr="00362751">
        <w:rPr>
          <w:rFonts w:ascii="Arial" w:eastAsia="Times New Roman" w:hAnsi="Arial" w:cs="Arial"/>
          <w:b/>
          <w:bCs/>
          <w:color w:val="00B0F0"/>
          <w:kern w:val="36"/>
          <w:sz w:val="48"/>
          <w:szCs w:val="48"/>
          <w14:ligatures w14:val="none"/>
        </w:rPr>
        <w:lastRenderedPageBreak/>
        <w:t>RECOMMANDATIONS</w:t>
      </w:r>
      <w:r w:rsidRPr="00362751">
        <w:rPr>
          <w:rFonts w:ascii="Arial" w:eastAsia="Times New Roman" w:hAnsi="Arial" w:cs="Arial"/>
          <w:b/>
          <w:bCs/>
          <w:kern w:val="36"/>
          <w:sz w:val="48"/>
          <w:szCs w:val="48"/>
          <w14:ligatures w14:val="none"/>
        </w:rPr>
        <w:t xml:space="preserve"> RELATIVES AUX POLITIQUES PUBLIQUES ESSENTIELLES</w:t>
      </w:r>
    </w:p>
    <w:p w14:paraId="0EA40E01" w14:textId="49F62BFE" w:rsidR="00362751" w:rsidRDefault="00362751" w:rsidP="00362751">
      <w:pPr>
        <w:spacing w:before="100" w:beforeAutospacing="1" w:after="100" w:afterAutospacing="1" w:line="240" w:lineRule="auto"/>
        <w:rPr>
          <w:rFonts w:eastAsia="Times New Roman" w:cstheme="minorHAnsi"/>
          <w:kern w:val="0"/>
          <w:sz w:val="20"/>
          <w:szCs w:val="20"/>
          <w14:ligatures w14:val="none"/>
        </w:rPr>
      </w:pPr>
      <w:r w:rsidRPr="00362751">
        <w:rPr>
          <w:rFonts w:eastAsia="Times New Roman" w:cstheme="minorHAnsi"/>
          <w:b/>
          <w:bCs/>
          <w:kern w:val="0"/>
          <w:sz w:val="20"/>
          <w:szCs w:val="20"/>
          <w14:ligatures w14:val="none"/>
        </w:rPr>
        <w:t>Les politiques présentées</w:t>
      </w:r>
      <w:r w:rsidRPr="00362751">
        <w:rPr>
          <w:rFonts w:eastAsia="Times New Roman" w:cstheme="minorHAnsi"/>
          <w:kern w:val="0"/>
          <w:sz w:val="20"/>
          <w:szCs w:val="20"/>
          <w14:ligatures w14:val="none"/>
        </w:rPr>
        <w:t xml:space="preserve"> dans la présente section sont considérées par L'IIA comme des dispositions fondamentales qui devraient être intégrées au cadre législatif et réglementaire applicable à l'audit interne du secteur public dans chaque pays.</w:t>
      </w:r>
    </w:p>
    <w:p w14:paraId="2F5774CB" w14:textId="77777777" w:rsidR="00362751" w:rsidRPr="00E001D8" w:rsidRDefault="00362751" w:rsidP="00362751">
      <w:pPr>
        <w:spacing w:before="100" w:beforeAutospacing="1" w:after="100" w:afterAutospacing="1" w:line="240" w:lineRule="auto"/>
        <w:outlineLvl w:val="0"/>
        <w:rPr>
          <w:rFonts w:ascii="Arial" w:eastAsia="Times New Roman" w:hAnsi="Arial" w:cs="Arial"/>
          <w:color w:val="FFC000" w:themeColor="accent4"/>
          <w:kern w:val="36"/>
          <w:sz w:val="16"/>
          <w:szCs w:val="16"/>
          <w14:ligatures w14:val="none"/>
        </w:rPr>
      </w:pPr>
      <w:r w:rsidRPr="00E001D8">
        <w:rPr>
          <w:rFonts w:ascii="Arial" w:eastAsia="Times New Roman" w:hAnsi="Arial" w:cs="Arial"/>
          <w:color w:val="FFC000" w:themeColor="accent4"/>
          <w:kern w:val="36"/>
          <w:sz w:val="16"/>
          <w:szCs w:val="16"/>
          <w14:ligatures w14:val="none"/>
        </w:rPr>
        <w:t>-------------------------------------------------------------------------------------------------------------------------------------------------------------------------------</w:t>
      </w:r>
    </w:p>
    <w:p w14:paraId="69A834F1" w14:textId="71FEBCCB" w:rsidR="00362751" w:rsidRPr="00362751" w:rsidRDefault="00362751" w:rsidP="00362751">
      <w:pPr>
        <w:spacing w:after="0" w:line="240" w:lineRule="auto"/>
        <w:rPr>
          <w:rFonts w:ascii="Arial" w:eastAsia="Times New Roman" w:hAnsi="Arial" w:cs="Arial"/>
          <w:b/>
          <w:bCs/>
          <w:kern w:val="36"/>
          <w:sz w:val="28"/>
          <w:szCs w:val="28"/>
          <w14:ligatures w14:val="none"/>
        </w:rPr>
      </w:pPr>
      <w:r w:rsidRPr="00362751">
        <w:rPr>
          <w:rFonts w:ascii="Arial" w:eastAsia="Times New Roman" w:hAnsi="Arial" w:cs="Arial"/>
          <w:b/>
          <w:bCs/>
          <w:kern w:val="36"/>
          <w:sz w:val="28"/>
          <w:szCs w:val="28"/>
          <w14:ligatures w14:val="none"/>
        </w:rPr>
        <w:t>Définir l'audit interne dans la loi et établir des fonctions d'audit interne robustes, indépendantes et dotées des ressources nécessaires dans l'ensemble de l'administration publique</w:t>
      </w:r>
    </w:p>
    <w:p w14:paraId="42560F0F" w14:textId="77777777" w:rsidR="00362751" w:rsidRPr="00362751" w:rsidRDefault="00362751" w:rsidP="00362751">
      <w:pPr>
        <w:spacing w:after="0" w:line="240" w:lineRule="auto"/>
        <w:rPr>
          <w:rFonts w:ascii="Arial" w:eastAsia="Times New Roman" w:hAnsi="Arial" w:cs="Arial"/>
          <w:kern w:val="0"/>
          <w:sz w:val="20"/>
          <w:szCs w:val="20"/>
          <w14:ligatures w14:val="none"/>
        </w:rPr>
      </w:pPr>
    </w:p>
    <w:p w14:paraId="7503FE0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 réussite de tout cadre législatif et réglementaire applicable au secteur public repose sur des définitions claires des principaux concepts. Bien qu'il soit inévitable que les lois ou les règlements définissent plusieurs concepts et termes professionnels, L'IIA encourage les instituts nationaux à veiller tout particulièrement à ce que leur gouvernement adopte des définitions de « l'audit interne » et de « la fonction d'audit interne ». L'absence de définitions claires de ces deux concepts fondamentaux peut nuire à la capacité de la profession à exercer efficacement son rôle.</w:t>
      </w:r>
    </w:p>
    <w:p w14:paraId="35346141"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DÉFINITION DE L'AUDIT INTERNE DANS LA LOI</w:t>
      </w:r>
    </w:p>
    <w:p w14:paraId="3583BBE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décideurs publics peuvent choisir de reprendre la définition figurant dans les Normes internationales d'audit interne (GIAS) (reproduite précédemment dans le présent document) ou souhaiter l'adapter en fonction de considérations politiques ou stratégiques propres à leur ressort. L'essentiel est que cette définition soit exacte, complète et appliquée uniformément dans l'ensemble du secteur public.</w:t>
      </w:r>
    </w:p>
    <w:p w14:paraId="19CB623C"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ÉTABLIR DES FONCTIONS D'AUDIT INTERNE DANS L'ENSEMBLE DU SECTEUR PUBLIC</w:t>
      </w:r>
    </w:p>
    <w:p w14:paraId="2A8453D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recommande que les gouvernements mettent en place des fonctions d'audit interne dans l'ensemble de l'administration publique en tant qu'élément essentiel d'une bonne gouvernance. En outre, les décideurs publics devraient envisager d'exiger la création de fonctions d'audit interne au sein des organisations du secteur public lorsque les risques, la complexité des activités, le niveau des dépenses ou les responsabilités envers le public justifient la réalisation d'activités d'assurance indépendantes et qu'une telle fonction sert l'intérêt général.</w:t>
      </w:r>
    </w:p>
    <w:p w14:paraId="31903F5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Comme pour la définition de l'audit interne, les décideurs publics devraient veiller à ce qu'il existe une compréhension commune de ce qui constitue une fonction d'audit interne efficace dans le secteur public. À défaut d'en définir les éléments essentiels, il existe un risque que soient créées des fonctions d'audit interne dont la structure est inadéquate, dont le rendement est sous-optimal et qui ne sont pas en mesure de remplir leur mandat.</w:t>
      </w:r>
    </w:p>
    <w:p w14:paraId="0B58994A"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0"/>
          <w:szCs w:val="20"/>
          <w14:ligatures w14:val="none"/>
        </w:rPr>
      </w:pPr>
      <w:r w:rsidRPr="00362751">
        <w:rPr>
          <w:rFonts w:ascii="Arial" w:eastAsia="Times New Roman" w:hAnsi="Arial" w:cs="Arial"/>
          <w:b/>
          <w:bCs/>
          <w:kern w:val="0"/>
          <w:sz w:val="20"/>
          <w:szCs w:val="20"/>
          <w14:ligatures w14:val="none"/>
        </w:rPr>
        <w:t>L'IIA définit l'expression « fonction d'audit interne » comme suit :</w:t>
      </w:r>
    </w:p>
    <w:p w14:paraId="4BF54683" w14:textId="77777777" w:rsidR="002F6F1C" w:rsidRPr="002F6F1C" w:rsidRDefault="002F6F1C" w:rsidP="002F6F1C">
      <w:pPr>
        <w:spacing w:before="100" w:beforeAutospacing="1" w:after="100" w:afterAutospacing="1" w:line="240" w:lineRule="auto"/>
        <w:ind w:left="720"/>
        <w:rPr>
          <w:rFonts w:ascii="Arial" w:hAnsi="Arial" w:cs="Arial"/>
          <w:i/>
          <w:iCs/>
          <w:color w:val="00B0F0"/>
          <w:sz w:val="20"/>
          <w:szCs w:val="20"/>
        </w:rPr>
      </w:pPr>
      <w:r w:rsidRPr="002F6F1C">
        <w:rPr>
          <w:rFonts w:ascii="Arial" w:hAnsi="Arial" w:cs="Arial"/>
          <w:i/>
          <w:iCs/>
          <w:color w:val="00B0F0"/>
          <w:sz w:val="20"/>
          <w:szCs w:val="20"/>
        </w:rPr>
        <w:t>Professionnel ou groupe de professionnels chargé de fournir à une organisation des services d’assurance et de conseil</w:t>
      </w:r>
    </w:p>
    <w:p w14:paraId="757C245B" w14:textId="1AB279BF"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Pour compléter la définition d'une fonction d'audit interne efficace, L'IIA estime que toute définition légale devrait idéalement également prévoir, au minimum, les critères suivants :</w:t>
      </w:r>
    </w:p>
    <w:p w14:paraId="368BA85A" w14:textId="77777777" w:rsidR="00362751" w:rsidRPr="00362751" w:rsidRDefault="00362751" w:rsidP="00362751">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i/>
          <w:iCs/>
          <w:kern w:val="0"/>
          <w:sz w:val="20"/>
          <w:szCs w:val="20"/>
          <w:u w:val="single"/>
          <w14:ligatures w14:val="none"/>
        </w:rPr>
        <w:t>être indépendante de la direction</w:t>
      </w:r>
      <w:r w:rsidRPr="00362751">
        <w:rPr>
          <w:rFonts w:ascii="Arial" w:eastAsia="Times New Roman" w:hAnsi="Arial" w:cs="Arial"/>
          <w:kern w:val="0"/>
          <w:sz w:val="20"/>
          <w:szCs w:val="20"/>
          <w14:ligatures w14:val="none"/>
        </w:rPr>
        <w:t xml:space="preserve"> et relever directement d'un comité d'audit de l'entité ou de son organe de gouvernance, auquel elle rend compte; </w:t>
      </w:r>
    </w:p>
    <w:p w14:paraId="26C650C0" w14:textId="77777777" w:rsidR="00362751" w:rsidRPr="00362751" w:rsidRDefault="00362751" w:rsidP="00362751">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être régie par </w:t>
      </w:r>
      <w:r w:rsidRPr="00362751">
        <w:rPr>
          <w:rFonts w:ascii="Arial" w:eastAsia="Times New Roman" w:hAnsi="Arial" w:cs="Arial"/>
          <w:i/>
          <w:iCs/>
          <w:kern w:val="0"/>
          <w:sz w:val="20"/>
          <w:szCs w:val="20"/>
          <w:u w:val="single"/>
          <w14:ligatures w14:val="none"/>
        </w:rPr>
        <w:t>une charte d'audit interne écrite</w:t>
      </w:r>
      <w:r w:rsidRPr="00362751">
        <w:rPr>
          <w:rFonts w:ascii="Arial" w:eastAsia="Times New Roman" w:hAnsi="Arial" w:cs="Arial"/>
          <w:kern w:val="0"/>
          <w:sz w:val="20"/>
          <w:szCs w:val="20"/>
          <w14:ligatures w14:val="none"/>
        </w:rPr>
        <w:t xml:space="preserve">, approuvée à la fois par l'organe de gouvernance et par le responsable de l'audit interne (RAI) ou le dirigeant équivalent de la fonction d'audit interne; </w:t>
      </w:r>
    </w:p>
    <w:p w14:paraId="2114973D" w14:textId="77777777" w:rsidR="00362751" w:rsidRPr="00362751" w:rsidRDefault="00362751" w:rsidP="00362751">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appliquer </w:t>
      </w:r>
      <w:r w:rsidRPr="00362751">
        <w:rPr>
          <w:rFonts w:ascii="Arial" w:eastAsia="Times New Roman" w:hAnsi="Arial" w:cs="Arial"/>
          <w:i/>
          <w:iCs/>
          <w:kern w:val="0"/>
          <w:sz w:val="20"/>
          <w:szCs w:val="20"/>
          <w:u w:val="single"/>
          <w14:ligatures w14:val="none"/>
        </w:rPr>
        <w:t>les normes d'audit interne reconnues à l'échelle mondiale</w:t>
      </w:r>
      <w:r w:rsidRPr="00362751">
        <w:rPr>
          <w:rFonts w:ascii="Arial" w:eastAsia="Times New Roman" w:hAnsi="Arial" w:cs="Arial"/>
          <w:kern w:val="0"/>
          <w:sz w:val="20"/>
          <w:szCs w:val="20"/>
          <w14:ligatures w14:val="none"/>
        </w:rPr>
        <w:t xml:space="preserve">; </w:t>
      </w:r>
    </w:p>
    <w:p w14:paraId="2DFACF8F" w14:textId="77777777" w:rsidR="00362751" w:rsidRPr="00362751" w:rsidRDefault="00362751" w:rsidP="00362751">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être dotée d'un </w:t>
      </w:r>
      <w:r w:rsidRPr="00362751">
        <w:rPr>
          <w:rFonts w:ascii="Arial" w:eastAsia="Times New Roman" w:hAnsi="Arial" w:cs="Arial"/>
          <w:i/>
          <w:iCs/>
          <w:kern w:val="0"/>
          <w:sz w:val="20"/>
          <w:szCs w:val="20"/>
          <w:u w:val="single"/>
          <w14:ligatures w14:val="none"/>
        </w:rPr>
        <w:t>personnel qualifié</w:t>
      </w:r>
      <w:r w:rsidRPr="00362751">
        <w:rPr>
          <w:rFonts w:ascii="Arial" w:eastAsia="Times New Roman" w:hAnsi="Arial" w:cs="Arial"/>
          <w:kern w:val="0"/>
          <w:sz w:val="20"/>
          <w:szCs w:val="20"/>
          <w14:ligatures w14:val="none"/>
        </w:rPr>
        <w:t xml:space="preserve">, notamment par </w:t>
      </w:r>
      <w:r w:rsidRPr="00362751">
        <w:rPr>
          <w:rFonts w:ascii="Arial" w:eastAsia="Times New Roman" w:hAnsi="Arial" w:cs="Arial"/>
          <w:i/>
          <w:iCs/>
          <w:kern w:val="0"/>
          <w:sz w:val="20"/>
          <w:szCs w:val="20"/>
          <w:u w:val="single"/>
          <w14:ligatures w14:val="none"/>
        </w:rPr>
        <w:t>la détention de certifications ou d'autres titres professionnels appropriés</w:t>
      </w:r>
      <w:r w:rsidRPr="00362751">
        <w:rPr>
          <w:rFonts w:ascii="Arial" w:eastAsia="Times New Roman" w:hAnsi="Arial" w:cs="Arial"/>
          <w:kern w:val="0"/>
          <w:sz w:val="20"/>
          <w:szCs w:val="20"/>
          <w14:ligatures w14:val="none"/>
        </w:rPr>
        <w:t xml:space="preserve">, tels que le Certified Internal Auditor (CIA) ou d'autres titres spécialisés correspondant aux domaines ou aux sujets faisant l'objet des travaux d'audit interne; </w:t>
      </w:r>
    </w:p>
    <w:p w14:paraId="09F976F8" w14:textId="77777777" w:rsidR="00362751" w:rsidRPr="00362751" w:rsidRDefault="00362751" w:rsidP="00362751">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être en mesure d'exercer ses activités de </w:t>
      </w:r>
      <w:r w:rsidRPr="00362751">
        <w:rPr>
          <w:rFonts w:ascii="Arial" w:eastAsia="Times New Roman" w:hAnsi="Arial" w:cs="Arial"/>
          <w:i/>
          <w:iCs/>
          <w:kern w:val="0"/>
          <w:sz w:val="20"/>
          <w:szCs w:val="20"/>
          <w:u w:val="single"/>
          <w14:ligatures w14:val="none"/>
        </w:rPr>
        <w:t>façon objective et impartiale</w:t>
      </w:r>
      <w:r w:rsidRPr="00362751">
        <w:rPr>
          <w:rFonts w:ascii="Arial" w:eastAsia="Times New Roman" w:hAnsi="Arial" w:cs="Arial"/>
          <w:kern w:val="0"/>
          <w:sz w:val="20"/>
          <w:szCs w:val="20"/>
          <w14:ligatures w14:val="none"/>
        </w:rPr>
        <w:t xml:space="preserve">; </w:t>
      </w:r>
    </w:p>
    <w:p w14:paraId="4255CFA7" w14:textId="77777777" w:rsidR="00362751" w:rsidRPr="00362751" w:rsidRDefault="00362751" w:rsidP="00362751">
      <w:pPr>
        <w:numPr>
          <w:ilvl w:val="0"/>
          <w:numId w:val="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faire l'objet, au moins tous les cinq ans, d'une évaluation externe de la qualité (c.-à-d. </w:t>
      </w:r>
      <w:r w:rsidRPr="00362751">
        <w:rPr>
          <w:rFonts w:ascii="Arial" w:eastAsia="Times New Roman" w:hAnsi="Arial" w:cs="Arial"/>
          <w:i/>
          <w:iCs/>
          <w:kern w:val="0"/>
          <w:sz w:val="20"/>
          <w:szCs w:val="20"/>
          <w:u w:val="single"/>
          <w14:ligatures w14:val="none"/>
        </w:rPr>
        <w:t>un audit de la fonction d'audit interne</w:t>
      </w:r>
      <w:r w:rsidRPr="00362751">
        <w:rPr>
          <w:rFonts w:ascii="Arial" w:eastAsia="Times New Roman" w:hAnsi="Arial" w:cs="Arial"/>
          <w:kern w:val="0"/>
          <w:sz w:val="20"/>
          <w:szCs w:val="20"/>
          <w14:ligatures w14:val="none"/>
        </w:rPr>
        <w:t xml:space="preserve">), telle que l'External Quality Assessment (EQA) ou la Self-Assessment with Independent Validation (SAIV) de L'IIA, ou d'un processus équivalent de grande qualité offert par le secteur privé. </w:t>
      </w:r>
    </w:p>
    <w:p w14:paraId="710BFF0D" w14:textId="6D1AA9A2" w:rsidR="00362751" w:rsidRPr="00362751" w:rsidRDefault="00362751" w:rsidP="00362751">
      <w:pPr>
        <w:spacing w:before="100" w:beforeAutospacing="1" w:after="100" w:afterAutospacing="1" w:line="240" w:lineRule="auto"/>
        <w:rPr>
          <w:rFonts w:ascii="Arial" w:eastAsia="Times New Roman" w:hAnsi="Arial" w:cs="Arial"/>
          <w:i/>
          <w:iCs/>
          <w:kern w:val="0"/>
          <w:sz w:val="20"/>
          <w:szCs w:val="20"/>
          <w:u w:val="single"/>
          <w14:ligatures w14:val="none"/>
        </w:rPr>
      </w:pPr>
      <w:r w:rsidRPr="00362751">
        <w:rPr>
          <w:rFonts w:ascii="Arial" w:eastAsia="Times New Roman" w:hAnsi="Arial" w:cs="Arial"/>
          <w:i/>
          <w:iCs/>
          <w:kern w:val="0"/>
          <w:sz w:val="20"/>
          <w:szCs w:val="20"/>
          <w:u w:val="single"/>
          <w14:ligatures w14:val="none"/>
        </w:rPr>
        <w:t>Le non-respect de l'un ou l'autre des six critères ci-dessus devrait signifier que la fonction d'audit interne est inadéquatement structurée, qu'elle n'est pas conforme aux exigences légales et qu'elle risque de ne pas être en mesure de remplir efficacement son mandat.</w:t>
      </w:r>
      <w:r>
        <w:rPr>
          <w:rStyle w:val="FootnoteReference"/>
          <w:rFonts w:ascii="Arial" w:eastAsia="Times New Roman" w:hAnsi="Arial" w:cs="Arial"/>
          <w:i/>
          <w:iCs/>
          <w:kern w:val="0"/>
          <w:sz w:val="20"/>
          <w:szCs w:val="20"/>
          <w:u w:val="single"/>
          <w14:ligatures w14:val="none"/>
        </w:rPr>
        <w:footnoteReference w:id="5"/>
      </w:r>
    </w:p>
    <w:p w14:paraId="7444773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Selon leur contexte politique et administratif, les instituts nationaux pourraient souhaiter collaborer avec les décideurs publics afin d'ajouter d'autres critères à la définition d'une fonction d'audit interne, pourvu que ces ajouts demeurent conformes au Cadre de référence international des pratiques professionnelles (CRIPP), y compris les Normes internationales d'audit interne (GIAS), au Modèle des trois lignes de L'IIA ainsi qu'aux pratiques professionnelles reconnues.</w:t>
      </w:r>
    </w:p>
    <w:p w14:paraId="28B26D92" w14:textId="1C927659"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Quoi qu'il en soit, la structure retenue pour une fonction d'audit interne peut varier selon la taille de l'organisation, la complexité de ses activités et les ressources dont elle dispose. Les petites organisations peuvent partager des ressources d'audit interne dans le cadre d'ententes centralisées, tandis que les grandes organisations peuvent nécessiter une fonction d'audit interne distincte et permanente.</w:t>
      </w:r>
    </w:p>
    <w:p w14:paraId="479FD33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Autres questions que les décideurs publics devraient examiner concernant les fonctions d'audit interne du secteur public :</w:t>
      </w:r>
    </w:p>
    <w:p w14:paraId="59775247" w14:textId="77777777" w:rsidR="00362751" w:rsidRPr="00362751" w:rsidRDefault="00362751" w:rsidP="00362751">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 responsable de l'audit interne (RAI) est-il protégé contre toute révocation ou mesure de représailles inappropriée? </w:t>
      </w:r>
    </w:p>
    <w:p w14:paraId="519C5172" w14:textId="77777777" w:rsidR="00362751" w:rsidRPr="00362751" w:rsidRDefault="00362751" w:rsidP="00362751">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fonction d'audit interne dispose-t-elle d'un accès suffisamment libre et sans restriction à l'information, au personnel et aux dossiers nécessaires pour s'acquitter efficacement de ses responsabilités? </w:t>
      </w:r>
    </w:p>
    <w:p w14:paraId="74ED7294" w14:textId="77777777" w:rsidR="00362751" w:rsidRPr="00362751" w:rsidRDefault="00362751" w:rsidP="00362751">
      <w:pPr>
        <w:numPr>
          <w:ilvl w:val="0"/>
          <w:numId w:val="1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fonction d'audit interne dispose-t-elle des ressources financières, des effectifs, des ressources de formation, des ressources technologiques, des services juridiques et du soutien administratif nécessaires pour remplir efficacement son mandat? </w:t>
      </w:r>
    </w:p>
    <w:p w14:paraId="545194BF"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Que ce soit par voie législative, réglementaire ou au moyen de directives gouvernementales, les décideurs publics sont encouragés à formaliser des mesures de protection et des solutions répondant aux questions soulevées ci-dessus.</w:t>
      </w:r>
    </w:p>
    <w:p w14:paraId="58C43C53" w14:textId="4DC5ABF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DISCIPLINE ET SUPERVISION (D&amp;O</w:t>
      </w:r>
      <w:r>
        <w:rPr>
          <w:rFonts w:ascii="Arial" w:eastAsia="Times New Roman" w:hAnsi="Arial" w:cs="Arial"/>
          <w:b/>
          <w:bCs/>
          <w:color w:val="00B0F0"/>
          <w:kern w:val="0"/>
          <w:sz w:val="20"/>
          <w:szCs w:val="20"/>
          <w14:ligatures w14:val="none"/>
        </w:rPr>
        <w:t xml:space="preserve"> EN ANGLAIS</w:t>
      </w:r>
      <w:r w:rsidRPr="00362751">
        <w:rPr>
          <w:rFonts w:ascii="Arial" w:eastAsia="Times New Roman" w:hAnsi="Arial" w:cs="Arial"/>
          <w:b/>
          <w:bCs/>
          <w:color w:val="00B0F0"/>
          <w:kern w:val="0"/>
          <w:sz w:val="20"/>
          <w:szCs w:val="20"/>
          <w14:ligatures w14:val="none"/>
        </w:rPr>
        <w:t>) DES AUDITEURS INTERNES DU SECTEUR PUBLIC</w:t>
      </w:r>
    </w:p>
    <w:p w14:paraId="7B4B2D4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Bien qu'ils ne fassent pas directement partie de la structure ou des pratiques exemplaires d'une fonction d'audit interne du secteur public, les mécanismes de discipline et de supervision sont essentiels au maintien de la confiance du public en garantissant que les auditeurs internes respectent les exigences de compétence professionnelle et de conduite éthique. Les gouvernements devraient établir des mécanismes appropriés pour traiter les cas d'inconduite professionnelle, d'incompétence, de manquements à l'éthique ou de toute autre préoccupation concernant les auditeurs internes du secteur public.</w:t>
      </w:r>
    </w:p>
    <w:p w14:paraId="0E157AB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Ces mécanismes peuvent relever des systèmes de gestion des ressources humaines du gouvernement, des bureaux d'éthique, des cadres de responsabilité professionnelle ou d'autres mécanismes de supervision. Par ailleurs, L'IIA et sa fédération d'instituts nationaux administrent des programmes de discipline et de supervision (D&amp;O) qui contribuent au maintien de la confiance du public envers leurs membres.</w:t>
      </w:r>
    </w:p>
    <w:p w14:paraId="6911FB5F"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Une option que les décideurs publics pourraient envisager afin de renforcer la discipline et la supervision ainsi que d'assurer la compétence et la conduite éthique des auditeurs internes du secteur public serait d'exiger — et, le cas échéant, de financer — l'adhésion de tous les auditeurs internes du secteur public à l'institut national de leur pays. Le programme de discipline et de supervision (D&amp;O) de l'institut national offrirait alors un niveau supplémentaire de supervision professionnelle et d'expertise pour instruire les dossiers disciplinaires visant des auditeurs internes du secteur public, dans des domaines où les mécanismes gouvernementaux de gestion des ressources humaines pourraient ne pas disposer de l'expertise spécialisée requise.</w:t>
      </w:r>
    </w:p>
    <w:p w14:paraId="7458FE4D" w14:textId="5DEEB83D"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conséquence, les décisions disciplinaires rendues par l'institut national pourraient être communiquées au gouvernement dans le cadre d'un mécanisme officiel d'échange d'information ou d'un protocole d'entente.</w:t>
      </w:r>
    </w:p>
    <w:p w14:paraId="7ED04F77" w14:textId="77777777" w:rsidR="00FB33EF" w:rsidRPr="00362751" w:rsidRDefault="00FB33EF" w:rsidP="00362751">
      <w:pPr>
        <w:spacing w:before="100" w:beforeAutospacing="1" w:after="100" w:afterAutospacing="1" w:line="240" w:lineRule="auto"/>
        <w:rPr>
          <w:rFonts w:ascii="Arial" w:eastAsia="Times New Roman" w:hAnsi="Arial" w:cs="Arial"/>
          <w:kern w:val="0"/>
          <w:sz w:val="20"/>
          <w:szCs w:val="20"/>
          <w14:ligatures w14:val="none"/>
        </w:rPr>
      </w:pPr>
    </w:p>
    <w:p w14:paraId="107D4399" w14:textId="77777777" w:rsidR="00362751" w:rsidRPr="00362751" w:rsidRDefault="00362751" w:rsidP="00362751">
      <w:pPr>
        <w:spacing w:before="100" w:beforeAutospacing="1" w:after="100" w:afterAutospacing="1" w:line="240" w:lineRule="auto"/>
        <w:outlineLvl w:val="0"/>
        <w:rPr>
          <w:rFonts w:ascii="Arial" w:eastAsia="Times New Roman" w:hAnsi="Arial" w:cs="Arial"/>
          <w:b/>
          <w:bCs/>
          <w:kern w:val="36"/>
          <w:sz w:val="28"/>
          <w:szCs w:val="28"/>
          <w14:ligatures w14:val="none"/>
        </w:rPr>
      </w:pPr>
      <w:r w:rsidRPr="00362751">
        <w:rPr>
          <w:rFonts w:ascii="Arial" w:eastAsia="Times New Roman" w:hAnsi="Arial" w:cs="Arial"/>
          <w:b/>
          <w:bCs/>
          <w:kern w:val="36"/>
          <w:sz w:val="28"/>
          <w:szCs w:val="28"/>
          <w14:ligatures w14:val="none"/>
        </w:rPr>
        <w:t>Assurer une gouvernance appropriée, des liens hiérarchiques adéquats, un positionnement organisationnel approprié et une supervision efficace par l'organe de gouvernance</w:t>
      </w:r>
    </w:p>
    <w:p w14:paraId="3096FC4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L'efficacité d'une fonction d'audit interne du secteur public dépend non seulement de sa structure, mais également de sa gouvernance, de son positionnement au sein de l'organisation et du soutien dont elle bénéficie. Les gouvernements devraient mettre en place des structures de gouvernance qui favorisent l'indépendance, la reddition de comptes, la transparence et une supervision efficace des activités d'audit interne. Les fonctions d'audit interne devraient être positionnées de manière à permettre aux auditeurs internes de communiquer librement leurs préoccupations, de signaler adéquatement les constatations importantes et de contribuer de façon significative à la gouvernance de l'organisation. Bien que les modèles de gouvernance varient d'un ressort à l'autre, toutes les fonctions d'audit interne du secteur public devraient être soumises à la supervision d'un organe de gouvernance approprié, capable de soutenir la fonction d'audit interne tout en préservant son indépendance et son objectivité.</w:t>
      </w:r>
    </w:p>
    <w:p w14:paraId="2DFCC0E8" w14:textId="77777777" w:rsidR="002F6F1C" w:rsidRDefault="002F6F1C"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p>
    <w:p w14:paraId="2B5821E1" w14:textId="21289C31"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lastRenderedPageBreak/>
        <w:t>ÉTABLIR UNE SUPERVISION APPROPRIÉE PAR L'ORGANE DE GOUVERNANCE</w:t>
      </w:r>
    </w:p>
    <w:p w14:paraId="6F188D8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fonctions d'audit interne ne peuvent exercer efficacement leurs activités de façon isolée. Un organe de gouvernance approprié devrait assurer la supervision de la fonction d'audit interne et veiller à ce que les activités d'audit interne demeurent alignées sur les objectifs de l'organisation, les attentes des parties prenantes et les normes professionnelles.</w:t>
      </w:r>
    </w:p>
    <w:p w14:paraId="1BFA574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L'organe de gouvernance devrait généralement être responsable :</w:t>
      </w:r>
    </w:p>
    <w:p w14:paraId="6DF1F89B" w14:textId="77777777" w:rsidR="00362751" w:rsidRPr="00362751" w:rsidRDefault="00362751" w:rsidP="00362751">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d'approuver la charte d'audit interne; </w:t>
      </w:r>
    </w:p>
    <w:p w14:paraId="76DB41A6" w14:textId="77777777" w:rsidR="00362751" w:rsidRPr="00362751" w:rsidRDefault="00362751" w:rsidP="00362751">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d'examiner et d'approuver le plan d'audit fondé sur les risques; </w:t>
      </w:r>
    </w:p>
    <w:p w14:paraId="54727A5C" w14:textId="77777777" w:rsidR="00362751" w:rsidRPr="00362751" w:rsidRDefault="00362751" w:rsidP="00362751">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recevoir les principales constatations d'audit; </w:t>
      </w:r>
    </w:p>
    <w:p w14:paraId="46CCFB68" w14:textId="77777777" w:rsidR="00362751" w:rsidRPr="00362751" w:rsidRDefault="00362751" w:rsidP="00362751">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suivre la mise en œuvre, par la direction, des recommandations d'audit; </w:t>
      </w:r>
    </w:p>
    <w:p w14:paraId="40D59268" w14:textId="77777777" w:rsidR="00362751" w:rsidRPr="00362751" w:rsidRDefault="00362751" w:rsidP="00362751">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soutenir l'indépendance de la fonction d'audit interne; </w:t>
      </w:r>
    </w:p>
    <w:p w14:paraId="5C5E8083" w14:textId="77777777" w:rsidR="00362751" w:rsidRPr="00362751" w:rsidRDefault="00362751" w:rsidP="00362751">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participer à la nomination et à l'évaluation du responsable de l'audit interne (RAI); </w:t>
      </w:r>
    </w:p>
    <w:p w14:paraId="30750E89" w14:textId="77777777" w:rsidR="00362751" w:rsidRPr="00362751" w:rsidRDefault="00362751" w:rsidP="00362751">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veiller à ce que la fonction d'audit interne dispose de ressources adéquates; </w:t>
      </w:r>
    </w:p>
    <w:p w14:paraId="15BB7BA8" w14:textId="77777777" w:rsidR="00362751" w:rsidRPr="00362751" w:rsidRDefault="00362751" w:rsidP="00362751">
      <w:pPr>
        <w:numPr>
          <w:ilvl w:val="0"/>
          <w:numId w:val="1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surveiller la qualité et l'efficacité des activités d'audit interne. </w:t>
      </w:r>
    </w:p>
    <w:p w14:paraId="5483A65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 structure précise de l'organe de gouvernance dans le secteur public peut varier selon le contexte juridique et administratif de chaque ressort. Les principes fondamentaux sont plus importants que la structure elle-même.</w:t>
      </w:r>
    </w:p>
    <w:p w14:paraId="5A52CA11"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LES COMITÉS D'AUDIT : UNE PRATIQUE EXEMPLAIRE FORTEMENT RECOMMANDÉE</w:t>
      </w:r>
    </w:p>
    <w:p w14:paraId="351EE62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Lorsqu'ils déterminent quel organe de gouvernance est le plus approprié, L'IIA encourage fortement les gouvernements et les organisations du secteur public à établir des comités d'audit partout où cela est réalisable. Les comités d'audit sont devenus un mécanisme de gouvernance de plus en plus important dans les secteurs public et privé, puisqu'ils réunissent un groupe d'experts pouvant assurer une supervision spécialisée de la gouvernance, de la gestion des risques, des contrôles internes, de l'information financière, de l'éthique, de la conformité et de l'audit interne.</w:t>
      </w:r>
    </w:p>
    <w:p w14:paraId="7D6F9F22"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reconnaît que la structure et le fonctionnement des comités d'audit peuvent varier d'un ressort à l'autre. Toutefois, lorsqu'ils sont établis, les gouvernements devraient veiller à ce que leurs membres possèdent collectivement des compétences diversifiées et complémentaires correspondant à leurs responsabilités. De plus en plus, les gouvernements devraient rechercher une expertise en cybersécurité, en technologies de l'information, en intelligence artificielle (IA), en gouvernance des données et en gestion de la performance du secteur public.</w:t>
      </w:r>
    </w:p>
    <w:p w14:paraId="3E38D410"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AUTRES STRUCTURES DE GOUVERNANCE</w:t>
      </w:r>
    </w:p>
    <w:p w14:paraId="252C354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reconnaît que les comités d'audit n'existent pas dans toutes les organisations du secteur public et qu'ils ne sont ni réalisables ni appropriés dans tous les ressorts. Les gouvernements devraient donc veiller à ce que d'autres structures de gouvernance offrent un niveau comparable d'expertise, de supervision, de reddition de comptes et d'indépendance à l'égard de la fonction d'audit interne.</w:t>
      </w:r>
    </w:p>
    <w:p w14:paraId="2C04482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Selon les circonstances, ces autres organes de gouvernance peuvent notamment comprendre :</w:t>
      </w:r>
    </w:p>
    <w:p w14:paraId="3B518AFD" w14:textId="77777777" w:rsidR="00362751" w:rsidRPr="00362751" w:rsidRDefault="00362751" w:rsidP="00362751">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conseils d'administration ou des conseils de surveillance; </w:t>
      </w:r>
    </w:p>
    <w:p w14:paraId="424DDEEE" w14:textId="77777777" w:rsidR="00362751" w:rsidRPr="00362751" w:rsidRDefault="00362751" w:rsidP="00362751">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commissions parlementaires ou législatives; </w:t>
      </w:r>
    </w:p>
    <w:p w14:paraId="406E3431" w14:textId="77777777" w:rsidR="00362751" w:rsidRPr="00362751" w:rsidRDefault="00362751" w:rsidP="00362751">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commissions indépendantes; </w:t>
      </w:r>
    </w:p>
    <w:p w14:paraId="5ED50C92" w14:textId="77777777" w:rsidR="00362751" w:rsidRPr="00362751" w:rsidRDefault="00362751" w:rsidP="00362751">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ministres agissant officiellement à titre d'organe de gouvernance; </w:t>
      </w:r>
    </w:p>
    <w:p w14:paraId="2E5035E6" w14:textId="77777777" w:rsidR="00362751" w:rsidRPr="00362751" w:rsidRDefault="00362751" w:rsidP="00362751">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conseils de surveillance du secteur public; </w:t>
      </w:r>
    </w:p>
    <w:p w14:paraId="563091DE" w14:textId="77777777" w:rsidR="00362751" w:rsidRPr="00362751" w:rsidRDefault="00362751" w:rsidP="00362751">
      <w:pPr>
        <w:numPr>
          <w:ilvl w:val="0"/>
          <w:numId w:val="1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toute autre autorité de gouvernance légalement habilitée. </w:t>
      </w:r>
    </w:p>
    <w:p w14:paraId="2058DF4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Quelle que soit leur structure, ces organes de gouvernance devraient être en mesure :</w:t>
      </w:r>
    </w:p>
    <w:p w14:paraId="0C7A29F2" w14:textId="77777777" w:rsidR="00362751" w:rsidRPr="00362751" w:rsidRDefault="00362751" w:rsidP="00362751">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recevoir directement des communications indépendantes des auditeurs internes; </w:t>
      </w:r>
    </w:p>
    <w:p w14:paraId="45A7CE27" w14:textId="77777777" w:rsidR="00362751" w:rsidRPr="00362751" w:rsidRDefault="00362751" w:rsidP="00362751">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d'examiner les principales constatations d'audit; </w:t>
      </w:r>
    </w:p>
    <w:p w14:paraId="519C9292" w14:textId="77777777" w:rsidR="00362751" w:rsidRPr="00362751" w:rsidRDefault="00362751" w:rsidP="00362751">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suivre les mesures prises par la direction en réponse aux recommandations d'audit; </w:t>
      </w:r>
    </w:p>
    <w:p w14:paraId="7EAFD429" w14:textId="77777777" w:rsidR="00362751" w:rsidRPr="00362751" w:rsidRDefault="00362751" w:rsidP="00362751">
      <w:pPr>
        <w:numPr>
          <w:ilvl w:val="0"/>
          <w:numId w:val="1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 tenir la direction responsable de la mise en œuvre des mesures correctives. </w:t>
      </w:r>
    </w:p>
    <w:p w14:paraId="77B6FE8D" w14:textId="4A51FB4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L'élément essentiel de tous ces modèles de gouvernance, y compris les comités d'audit, est leur capacité à être protégés contre toute influence politique ou partisane. Idéalement, ils devraient être perçus comme des organismes compétents et apolitiques. Un changement de gouvernement ne devrait pas nécessairement entraîner le remplacement systématique des membres des organes de gouvernance gouvernementaux par des personnes affiliées à un autre parti ou à une autre formation politique. Les décideurs publics devraient envisager d'établir des protections législatives afin de préserver les organes de gouvernance ainsi que les fonctions d'audit interne contre la partisanerie et la politisation.</w:t>
      </w:r>
    </w:p>
    <w:p w14:paraId="5BDBE589"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LIENS HIÉRARCHIQUES APPROPRIÉS</w:t>
      </w:r>
    </w:p>
    <w:p w14:paraId="1E01A4F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liens hiérarchiques influencent considérablement l'efficacité et l'indépendance des fonctions d'audit interne. Les gouvernements devraient établir des structures de reddition de comptes qui permettent aux auditeurs internes de communiquer librement leurs préoccupations tout en maintenant une coordination administrative appropriée avec la direction.</w:t>
      </w:r>
    </w:p>
    <w:p w14:paraId="40227CA9"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appuie généralement les structures de reddition de comptes qui prévoient un lien hiérarchique fonctionnel avec un organe de gouvernance ou une autorité de supervision équivalente, ainsi qu'un lien hiérarchique administratif avec un dirigeant responsable de l'administration de l'organisation.</w:t>
      </w:r>
    </w:p>
    <w:p w14:paraId="06152C9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lien hiérarchique fonctionnel peut notamment comprendre :</w:t>
      </w:r>
    </w:p>
    <w:p w14:paraId="755BBA52" w14:textId="77777777" w:rsidR="00362751" w:rsidRPr="00362751" w:rsidRDefault="00362751" w:rsidP="00362751">
      <w:pPr>
        <w:numPr>
          <w:ilvl w:val="0"/>
          <w:numId w:val="1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l'approbation du plan d'audit; </w:t>
      </w:r>
    </w:p>
    <w:p w14:paraId="5B07E176" w14:textId="77777777" w:rsidR="00362751" w:rsidRPr="00362751" w:rsidRDefault="00362751" w:rsidP="00362751">
      <w:pPr>
        <w:numPr>
          <w:ilvl w:val="0"/>
          <w:numId w:val="1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l'approbation de la charte d'audit interne; </w:t>
      </w:r>
    </w:p>
    <w:p w14:paraId="58614781" w14:textId="77777777" w:rsidR="00362751" w:rsidRPr="00362751" w:rsidRDefault="00362751" w:rsidP="00362751">
      <w:pPr>
        <w:numPr>
          <w:ilvl w:val="0"/>
          <w:numId w:val="1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l'examen des constatations importantes; </w:t>
      </w:r>
    </w:p>
    <w:p w14:paraId="2700FF53" w14:textId="77777777" w:rsidR="00362751" w:rsidRPr="00362751" w:rsidRDefault="00362751" w:rsidP="00362751">
      <w:pPr>
        <w:numPr>
          <w:ilvl w:val="0"/>
          <w:numId w:val="1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l'évaluation du responsable de l'audit interne (RAI); </w:t>
      </w:r>
    </w:p>
    <w:p w14:paraId="6C4FD65C" w14:textId="77777777" w:rsidR="00362751" w:rsidRPr="00362751" w:rsidRDefault="00362751" w:rsidP="00362751">
      <w:pPr>
        <w:numPr>
          <w:ilvl w:val="0"/>
          <w:numId w:val="1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supervision de la performance de la fonction d'audit interne. </w:t>
      </w:r>
    </w:p>
    <w:p w14:paraId="4DDF850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lien hiérarchique administratif peut notamment comprendre :</w:t>
      </w:r>
    </w:p>
    <w:p w14:paraId="12FE3B54" w14:textId="77777777" w:rsidR="00362751" w:rsidRPr="00362751" w:rsidRDefault="00362751" w:rsidP="00362751">
      <w:pPr>
        <w:numPr>
          <w:ilvl w:val="0"/>
          <w:numId w:val="15"/>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l'administration du budget; </w:t>
      </w:r>
    </w:p>
    <w:p w14:paraId="3E36AF53" w14:textId="77777777" w:rsidR="00362751" w:rsidRPr="00362751" w:rsidRDefault="00362751" w:rsidP="00362751">
      <w:pPr>
        <w:numPr>
          <w:ilvl w:val="0"/>
          <w:numId w:val="15"/>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questions relatives aux ressources humaines; </w:t>
      </w:r>
    </w:p>
    <w:p w14:paraId="52F0EAA1" w14:textId="77777777" w:rsidR="00362751" w:rsidRPr="00362751" w:rsidRDefault="00362751" w:rsidP="00362751">
      <w:pPr>
        <w:numPr>
          <w:ilvl w:val="0"/>
          <w:numId w:val="15"/>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paie; </w:t>
      </w:r>
    </w:p>
    <w:p w14:paraId="7F65F668" w14:textId="77777777" w:rsidR="00362751" w:rsidRPr="00362751" w:rsidRDefault="00362751" w:rsidP="00362751">
      <w:pPr>
        <w:numPr>
          <w:ilvl w:val="0"/>
          <w:numId w:val="15"/>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gestion des bureaux; </w:t>
      </w:r>
    </w:p>
    <w:p w14:paraId="05AADE68" w14:textId="77777777" w:rsidR="00362751" w:rsidRPr="00362751" w:rsidRDefault="00362751" w:rsidP="00362751">
      <w:pPr>
        <w:numPr>
          <w:ilvl w:val="0"/>
          <w:numId w:val="15"/>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 soutien administratif et opérationnel quotidien. </w:t>
      </w:r>
    </w:p>
    <w:p w14:paraId="5C5377D3" w14:textId="54814FD8" w:rsidR="00781770"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 séparation des liens hiérarchiques fonctionnel et administratif contribue à renforcer l'indépendance tout en préservant l'efficacité organisationnelle.</w:t>
      </w:r>
    </w:p>
    <w:p w14:paraId="22410F05" w14:textId="178F0D02" w:rsidR="00362751" w:rsidRPr="00362751" w:rsidRDefault="00362751" w:rsidP="00362751">
      <w:pPr>
        <w:spacing w:after="0" w:line="240" w:lineRule="auto"/>
        <w:rPr>
          <w:rFonts w:ascii="Arial" w:eastAsia="Times New Roman" w:hAnsi="Arial" w:cs="Arial"/>
          <w:color w:val="00B0F0"/>
          <w:kern w:val="0"/>
          <w:sz w:val="20"/>
          <w:szCs w:val="20"/>
          <w14:ligatures w14:val="none"/>
        </w:rPr>
      </w:pPr>
      <w:r w:rsidRPr="00362751">
        <w:rPr>
          <w:rFonts w:ascii="Arial" w:eastAsia="Times New Roman" w:hAnsi="Arial" w:cs="Arial"/>
          <w:b/>
          <w:bCs/>
          <w:color w:val="00B0F0"/>
          <w:kern w:val="0"/>
          <w:sz w:val="20"/>
          <w:szCs w:val="20"/>
          <w14:ligatures w14:val="none"/>
        </w:rPr>
        <w:t>POSITIONNEMENT ORGANISATIONNEL</w:t>
      </w:r>
    </w:p>
    <w:p w14:paraId="34E9E95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fonctions d'audit interne devraient être positionnées à un niveau suffisamment élevé au sein du gouvernement ou d'une organisation du secteur public pour être en mesure de s'acquitter efficacement de leurs responsabilités.</w:t>
      </w:r>
    </w:p>
    <w:p w14:paraId="0CAA779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Les auditeurs internes ne peuvent fournir une assurance utile s'ils n'ont pas accès aux principaux décideurs ou s'ils sont placés au sein d'unités opérationnelles qu'ils pourraient être appelés à auditer ultérieurement.</w:t>
      </w:r>
    </w:p>
    <w:p w14:paraId="02BBB24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éviter les structures organisationnelles qui :</w:t>
      </w:r>
    </w:p>
    <w:p w14:paraId="75B32B60" w14:textId="77777777" w:rsidR="00362751" w:rsidRPr="00362751" w:rsidRDefault="00362751" w:rsidP="00362751">
      <w:pPr>
        <w:numPr>
          <w:ilvl w:val="0"/>
          <w:numId w:val="16"/>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créent des conflits d'intérêts; </w:t>
      </w:r>
    </w:p>
    <w:p w14:paraId="7593FD0E" w14:textId="77777777" w:rsidR="00362751" w:rsidRPr="00362751" w:rsidRDefault="00362751" w:rsidP="00362751">
      <w:pPr>
        <w:numPr>
          <w:ilvl w:val="0"/>
          <w:numId w:val="16"/>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limitent l'accès à l'information; </w:t>
      </w:r>
    </w:p>
    <w:p w14:paraId="49600A88" w14:textId="77777777" w:rsidR="00362751" w:rsidRPr="00362751" w:rsidRDefault="00362751" w:rsidP="00362751">
      <w:pPr>
        <w:numPr>
          <w:ilvl w:val="0"/>
          <w:numId w:val="16"/>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compromettent l'objectivité; </w:t>
      </w:r>
    </w:p>
    <w:p w14:paraId="0480D468" w14:textId="77777777" w:rsidR="00362751" w:rsidRPr="00362751" w:rsidRDefault="00362751" w:rsidP="00362751">
      <w:pPr>
        <w:numPr>
          <w:ilvl w:val="0"/>
          <w:numId w:val="16"/>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confient aux auditeurs internes des responsabilités opérationnelles inappropriées. </w:t>
      </w:r>
    </w:p>
    <w:p w14:paraId="5D615AD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responsable de l'audit interne (RAI) devrait avoir un accès direct et régulier à la haute direction ainsi qu'à l'organe de gouvernance.</w:t>
      </w:r>
    </w:p>
    <w:p w14:paraId="7AE5F73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positionnement organisationnel devrait renforcer le rôle de la fonction d'audit interne en tant que source indépendante d'assurance et de perspectives.</w:t>
      </w:r>
    </w:p>
    <w:p w14:paraId="33E4CB34"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PRÉVENIR L'INFLUENCE INDUE DE LA DIRECTION ET L'INGÉRENCE POLITIQUE</w:t>
      </w:r>
    </w:p>
    <w:p w14:paraId="6B544EA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L'un des plus grands risques auxquels sont confrontées les fonctions d'audit interne du secteur public est l'influence indue exercée par la direction ou par des acteurs politiques.</w:t>
      </w:r>
    </w:p>
    <w:p w14:paraId="1C5B12F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L'influence indue de la direction se produit lorsqu'une fonction d'audit interne devient excessivement dépendante de la direction, hésite à remettre en question ses décisions ou est réticente à communiquer des préoccupations importantes.</w:t>
      </w:r>
    </w:p>
    <w:p w14:paraId="6CF2AE7F"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L'ingérence politique peut créer des risques semblables en dissuadant les auditeurs internes d'aborder des questions sensibles touchant les dépenses publiques, la performance des programmes, l'éthique, la corruption ou les défaillances en matière de gouvernance.</w:t>
      </w:r>
    </w:p>
    <w:p w14:paraId="351D1D2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mettre en place des mesures de protection visant à réduire ces risques.</w:t>
      </w:r>
    </w:p>
    <w:p w14:paraId="38F3FA92"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SUIVI DE LA MISE EN ŒUVRE DES RECOMMANDATIONS D'AUDIT</w:t>
      </w:r>
    </w:p>
    <w:p w14:paraId="02E07C9F"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fonctions d'audit interne ne créent de valeur que lorsque les constatations importantes donnent lieu à des mesures concrètes.</w:t>
      </w:r>
    </w:p>
    <w:p w14:paraId="7919A17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organes de gouvernance devraient établir des mécanismes permettant de suivre la mise en œuvre, par la direction, des recommandations formulées par l'audit interne.</w:t>
      </w:r>
    </w:p>
    <w:p w14:paraId="6754844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Ces mécanismes peuvent notamment comprendre :</w:t>
      </w:r>
    </w:p>
    <w:p w14:paraId="3062DEEC" w14:textId="77777777" w:rsidR="00362751" w:rsidRPr="00362751" w:rsidRDefault="00362751" w:rsidP="00362751">
      <w:pPr>
        <w:numPr>
          <w:ilvl w:val="0"/>
          <w:numId w:val="1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rapports périodiques sur l'état d'avancement; </w:t>
      </w:r>
    </w:p>
    <w:p w14:paraId="5C0EE2BE" w14:textId="77777777" w:rsidR="00362751" w:rsidRPr="00362751" w:rsidRDefault="00362751" w:rsidP="00362751">
      <w:pPr>
        <w:numPr>
          <w:ilvl w:val="0"/>
          <w:numId w:val="1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missions de suivi; </w:t>
      </w:r>
    </w:p>
    <w:p w14:paraId="421D7927" w14:textId="77777777" w:rsidR="00362751" w:rsidRPr="00362751" w:rsidRDefault="00362751" w:rsidP="00362751">
      <w:pPr>
        <w:numPr>
          <w:ilvl w:val="0"/>
          <w:numId w:val="1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systèmes de suivi des recommandations; </w:t>
      </w:r>
    </w:p>
    <w:p w14:paraId="7FBD96BE" w14:textId="77777777" w:rsidR="00362751" w:rsidRPr="00362751" w:rsidRDefault="00362751" w:rsidP="00362751">
      <w:pPr>
        <w:numPr>
          <w:ilvl w:val="0"/>
          <w:numId w:val="17"/>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procédures d'escalade lorsque les mesures correctives accusent un retard. </w:t>
      </w:r>
    </w:p>
    <w:p w14:paraId="274D0577"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L'organe de gouvernance devrait tenir la direction responsable de la correction des risques importants et des déficiences des contrôles internes relevés dans le cadre des activités d'audit interne. </w:t>
      </w:r>
    </w:p>
    <w:p w14:paraId="2E05170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235C5A3E"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lastRenderedPageBreak/>
        <w:t>Adopter le Cadre de référence international des pratiques professionnelles, y compris les Normes internationales d'audit interne, pour le secteur public</w:t>
      </w:r>
    </w:p>
    <w:p w14:paraId="28FEB0F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reconnaître officiellement et soutenir l'utilisation, dans l'ensemble du secteur public, de cadres de référence et de normes professionnelles d'audit interne reconnus à l'échelle internationale.</w:t>
      </w:r>
    </w:p>
    <w:p w14:paraId="4DD81FF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Ces cadres de référence et ces normes favorisent la cohérence, le professionnalisme, la qualité, la reddition de comptes et la confiance du public envers les activités d'audit interne.</w:t>
      </w:r>
    </w:p>
    <w:p w14:paraId="77501D7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Comme il a été expliqué précédemment dans le présent document, le Cadre de référence international des pratiques professionnelles (CRIPP), y compris les Normes internationales d'audit interne (GIAS), constitue le principal cadre de référence professionnel pour la pratique de l'audit interne, et L'IIA estime qu'il devrait servir de cadre de référence officiel pour l'ensemble des activités d'audit interne du secteur public.</w:t>
      </w:r>
    </w:p>
    <w:p w14:paraId="5786BE3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Bien que les gouvernements puissent adopter d'autres cadres de référence, normes ou lignes directrices afin de répondre à des besoins particuliers du secteur public, ceux-ci devraient compléter — et non remplacer — le CRIPP et demeurer harmonisés et compatibles avec les principes énoncés dans le CRIPP et les GIAS.</w:t>
      </w:r>
    </w:p>
    <w:p w14:paraId="673CEE91"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POURQUOI UN CADRE DE RÉFÉRENCE PRINCIPAL UNIQUE ET UN ENSEMBLE DE NORMES SONT IMPORTANTS</w:t>
      </w:r>
    </w:p>
    <w:p w14:paraId="27992AA9"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Un cadre de référence professionnel comprenant des normes et un code de déontologie établit une compréhension commune de ce qu'est l'audit interne, de la manière dont il doit être exercé et de ce que les parties prenantes sont raisonnablement en droit d'attendre des fonctions d'audit interne.</w:t>
      </w:r>
    </w:p>
    <w:p w14:paraId="3A06642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l'absence de normes professionnelles, les activités d'audit interne peuvent varier considérablement d'une organisation à l'autre ou d'un pays à l'autre, ce qui entraîne une qualité inégale, des attentes imprécises, une crédibilité réduite et une diminution de la confiance du public.</w:t>
      </w:r>
    </w:p>
    <w:p w14:paraId="223CB59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reconnaissent couramment des normes applicables à l'information financière, aux marchés publics, à la comptabilité, à l'ingénierie, à la médecine ainsi qu'à de nombreuses autres professions. L'audit interne ne devrait pas faire exception.</w:t>
      </w:r>
    </w:p>
    <w:p w14:paraId="49404078"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LE CADRE DE RÉFÉRENCE INTERNATIONAL DES PRATIQUES PROFESSIONNELLES</w:t>
      </w:r>
    </w:p>
    <w:p w14:paraId="40F60699"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Cadre de référence international des pratiques professionnelles (CRIPP) constitue le cadre de référence mondial de la profession d'audit interne.</w:t>
      </w:r>
    </w:p>
    <w:p w14:paraId="3967EE9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CRIPP offre une structure complète qui comprend :</w:t>
      </w:r>
    </w:p>
    <w:p w14:paraId="63396DAC" w14:textId="77777777" w:rsidR="00362751" w:rsidRPr="00362751" w:rsidRDefault="00362751" w:rsidP="00362751">
      <w:pPr>
        <w:numPr>
          <w:ilvl w:val="0"/>
          <w:numId w:val="1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Normes internationales d'audit interne; </w:t>
      </w:r>
    </w:p>
    <w:p w14:paraId="2D31569F" w14:textId="77777777" w:rsidR="00362751" w:rsidRPr="00362751" w:rsidRDefault="00362751" w:rsidP="00362751">
      <w:pPr>
        <w:numPr>
          <w:ilvl w:val="0"/>
          <w:numId w:val="1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Exigences thématiques; </w:t>
      </w:r>
    </w:p>
    <w:p w14:paraId="58D4E442" w14:textId="30A6FD55" w:rsidR="00362751" w:rsidRPr="00362751" w:rsidRDefault="00362751" w:rsidP="00362751">
      <w:pPr>
        <w:numPr>
          <w:ilvl w:val="0"/>
          <w:numId w:val="1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hAnsi="Arial" w:cs="Arial"/>
          <w:sz w:val="20"/>
          <w:szCs w:val="20"/>
        </w:rPr>
        <w:t xml:space="preserve">les </w:t>
      </w:r>
      <w:r>
        <w:rPr>
          <w:rFonts w:ascii="Arial" w:hAnsi="Arial" w:cs="Arial"/>
          <w:sz w:val="20"/>
          <w:szCs w:val="20"/>
        </w:rPr>
        <w:t>L</w:t>
      </w:r>
      <w:r w:rsidRPr="00362751">
        <w:rPr>
          <w:rFonts w:ascii="Arial" w:hAnsi="Arial" w:cs="Arial"/>
          <w:sz w:val="20"/>
          <w:szCs w:val="20"/>
        </w:rPr>
        <w:t>ignes directrices mondiales;</w:t>
      </w:r>
      <w:r w:rsidRPr="00362751">
        <w:rPr>
          <w:rFonts w:ascii="Arial" w:eastAsia="Times New Roman" w:hAnsi="Arial" w:cs="Arial"/>
          <w:kern w:val="0"/>
          <w:sz w:val="20"/>
          <w:szCs w:val="20"/>
          <w14:ligatures w14:val="none"/>
        </w:rPr>
        <w:t xml:space="preserve"> </w:t>
      </w:r>
    </w:p>
    <w:p w14:paraId="7A45914A" w14:textId="77777777" w:rsidR="00362751" w:rsidRPr="00362751" w:rsidRDefault="00362751" w:rsidP="00362751">
      <w:pPr>
        <w:numPr>
          <w:ilvl w:val="0"/>
          <w:numId w:val="18"/>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des ressources complémentaires et un soutien à la mise en œuvre. </w:t>
      </w:r>
    </w:p>
    <w:p w14:paraId="59E3B18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Ensemble, ces éléments fournissent aux gouvernements et aux organisations du secteur public un cadre de référence cohérent pour établir et maintenir des fonctions d'audit interne efficaces.</w:t>
      </w:r>
    </w:p>
    <w:p w14:paraId="0F1D71D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La reconnaissance, par les gouvernements, de l'ensemble du CRIPP peut favoriser la cohérence entre les ministères, les organismes, les sociétés d'État, les municipalités et les autres entités du secteur public.</w:t>
      </w:r>
    </w:p>
    <w:p w14:paraId="77A40B2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encourage les décideurs publics à reconnaître le CRIPP comme le principal cadre de référence professionnel applicable à l'audit interne dans le secteur public.</w:t>
      </w:r>
    </w:p>
    <w:p w14:paraId="6B4BF7A2"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LES NORMES INTERNATIONALES D'AUDIT INTERNE</w:t>
      </w:r>
    </w:p>
    <w:p w14:paraId="5C67EB6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Normes internationales d'audit interne, qui font partie du CRIPP, établissent des principes et des exigences reconnus à l'échelle mondiale pour l'exercice professionnel de l'audit interne.</w:t>
      </w:r>
    </w:p>
    <w:p w14:paraId="19BF8BE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Normes portent notamment sur les aspects suivants :</w:t>
      </w:r>
    </w:p>
    <w:p w14:paraId="646674C1" w14:textId="7093D5D3" w:rsidR="00362751" w:rsidRPr="00362751" w:rsidRDefault="00362751" w:rsidP="00362751">
      <w:pPr>
        <w:numPr>
          <w:ilvl w:val="0"/>
          <w:numId w:val="1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w:t>
      </w:r>
      <w:r w:rsidR="002F6F1C">
        <w:rPr>
          <w:rFonts w:ascii="Arial" w:eastAsia="Times New Roman" w:hAnsi="Arial" w:cs="Arial"/>
          <w:kern w:val="0"/>
          <w:sz w:val="20"/>
          <w:szCs w:val="20"/>
          <w14:ligatures w14:val="none"/>
        </w:rPr>
        <w:t>mission</w:t>
      </w:r>
      <w:r w:rsidRPr="00362751">
        <w:rPr>
          <w:rFonts w:ascii="Arial" w:eastAsia="Times New Roman" w:hAnsi="Arial" w:cs="Arial"/>
          <w:kern w:val="0"/>
          <w:sz w:val="20"/>
          <w:szCs w:val="20"/>
          <w14:ligatures w14:val="none"/>
        </w:rPr>
        <w:t xml:space="preserve"> de l'audit interne; </w:t>
      </w:r>
    </w:p>
    <w:p w14:paraId="499A0287" w14:textId="77777777" w:rsidR="00362751" w:rsidRPr="00362751" w:rsidRDefault="00362751" w:rsidP="00362751">
      <w:pPr>
        <w:numPr>
          <w:ilvl w:val="0"/>
          <w:numId w:val="1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l'éthique et le professionnalisme; </w:t>
      </w:r>
    </w:p>
    <w:p w14:paraId="345FDCE5" w14:textId="77777777" w:rsidR="00362751" w:rsidRPr="00362751" w:rsidRDefault="00362751" w:rsidP="00362751">
      <w:pPr>
        <w:numPr>
          <w:ilvl w:val="0"/>
          <w:numId w:val="1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l'indépendance et l'objectivité; </w:t>
      </w:r>
    </w:p>
    <w:p w14:paraId="5CAA0D97" w14:textId="77777777" w:rsidR="00362751" w:rsidRPr="00362751" w:rsidRDefault="00362751" w:rsidP="00362751">
      <w:pPr>
        <w:numPr>
          <w:ilvl w:val="0"/>
          <w:numId w:val="1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gouvernance de la fonction d'audit interne; </w:t>
      </w:r>
    </w:p>
    <w:p w14:paraId="02D82FE1" w14:textId="77777777" w:rsidR="00362751" w:rsidRPr="00362751" w:rsidRDefault="00362751" w:rsidP="00362751">
      <w:pPr>
        <w:numPr>
          <w:ilvl w:val="0"/>
          <w:numId w:val="1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gestion de la fonction d'audit interne; </w:t>
      </w:r>
    </w:p>
    <w:p w14:paraId="3AB16BEF" w14:textId="77777777" w:rsidR="00362751" w:rsidRPr="00362751" w:rsidRDefault="00362751" w:rsidP="00362751">
      <w:pPr>
        <w:numPr>
          <w:ilvl w:val="0"/>
          <w:numId w:val="1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prestation des services d'audit interne; </w:t>
      </w:r>
    </w:p>
    <w:p w14:paraId="43867536" w14:textId="77777777" w:rsidR="00362751" w:rsidRPr="00362751" w:rsidRDefault="00362751" w:rsidP="00362751">
      <w:pPr>
        <w:numPr>
          <w:ilvl w:val="0"/>
          <w:numId w:val="19"/>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l'assurance qualité et l'amélioration. </w:t>
      </w:r>
    </w:p>
    <w:p w14:paraId="184B6AB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Normes fournissent également aux gouvernements un mécanisme éprouvé et reconnu à l'échelle internationale pour évaluer l'efficacité des fonctions d'audit interne.</w:t>
      </w:r>
    </w:p>
    <w:p w14:paraId="204AB18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L'adoption des Normes peut également faciliter l'analyse comparative et les évaluations de la qualité entre les différents ressorts.</w:t>
      </w:r>
    </w:p>
    <w:p w14:paraId="6C8830FF"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MÉCANISMES D'ADOPTION PERMANENTS</w:t>
      </w:r>
    </w:p>
    <w:p w14:paraId="3FCC9B0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normes professionnelles évoluent au fil du temps afin de tenir compte de l'évolution des risques, des technologies et des pratiques de gouvernance.</w:t>
      </w:r>
    </w:p>
    <w:p w14:paraId="27632C4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éviter les mécanismes rigides d'adoption ou de reconnaissance qui risquent de devenir rapidement désuets lorsque les cadres de référence et les normes sont mis à jour.</w:t>
      </w:r>
    </w:p>
    <w:p w14:paraId="22A6CBD5"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dispose d'un ensemble de recommandations fondées sur les pratiques exemplaires ainsi que de libellés modèles concernant l'adoption du CRIPP, y compris des Normes, et se tient prêt à collaborer avec les décideurs publics et les instituts nationaux afin d'élaborer un libellé d'adoption adapté à leur ressort.</w:t>
      </w:r>
    </w:p>
    <w:p w14:paraId="7DAC126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06596AF8" w14:textId="7DE20F37" w:rsidR="00362751" w:rsidRPr="00362751" w:rsidRDefault="00362751" w:rsidP="00362751">
      <w:pPr>
        <w:spacing w:before="100" w:beforeAutospacing="1" w:after="100" w:afterAutospacing="1" w:line="240" w:lineRule="auto"/>
        <w:outlineLvl w:val="2"/>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Renforcer la gestion des risques, les contrôles internes, les mécanismes de lutte contre la corruption, l'audit de performance et la résilience en situation de crise et la résilience organisationnelle</w:t>
      </w:r>
    </w:p>
    <w:p w14:paraId="2F69569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Bien que des fonctions d'audit interne robustes soient un élément essentiel de la réussite des gouvernements et des organisations du secteur public, les décideurs publics devraient également prendre en considération plusieurs autres facteurs afin de s'assurer que les besoins en matière de gouvernance, de gestion des risques et de conformité (GRC) sont adéquatement satisfaits.</w:t>
      </w:r>
    </w:p>
    <w:p w14:paraId="772B453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Collectivement, lorsqu'ils sont bien conçus et adéquatement soutenus, ces éléments contribuent de façon synergique à l'atteinte des objectifs du secteur public et au renforcement de la confiance du public envers les gouvernements.</w:t>
      </w:r>
    </w:p>
    <w:p w14:paraId="2ABCD625" w14:textId="77712BCD"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GESTION EFFICACE DES RISQUES D'ENTREPRISE</w:t>
      </w:r>
      <w:r w:rsidRPr="00362751">
        <w:rPr>
          <w:rFonts w:ascii="Arial" w:eastAsia="Times New Roman" w:hAnsi="Arial" w:cs="Arial"/>
          <w:b/>
          <w:bCs/>
          <w:color w:val="00B0F0"/>
          <w:kern w:val="0"/>
          <w:sz w:val="20"/>
          <w:szCs w:val="20"/>
          <w14:ligatures w14:val="none"/>
        </w:rPr>
        <w:t xml:space="preserve"> (ERM EN ANGLAIS)</w:t>
      </w:r>
    </w:p>
    <w:p w14:paraId="297009F5" w14:textId="2C3E585E"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reconnaissent de plus en plus l'importance d'une approche de la gestion des risques d'entrepris</w:t>
      </w:r>
      <w:r w:rsidRPr="00362751">
        <w:rPr>
          <w:rFonts w:ascii="Arial" w:eastAsia="Times New Roman" w:hAnsi="Arial" w:cs="Arial"/>
          <w:kern w:val="0"/>
          <w:sz w:val="20"/>
          <w:szCs w:val="20"/>
          <w14:ligatures w14:val="none"/>
        </w:rPr>
        <w:t>e</w:t>
      </w:r>
      <w:r w:rsidRPr="00362751">
        <w:rPr>
          <w:rFonts w:ascii="Arial" w:eastAsia="Times New Roman" w:hAnsi="Arial" w:cs="Arial"/>
          <w:kern w:val="0"/>
          <w:sz w:val="20"/>
          <w:szCs w:val="20"/>
          <w14:ligatures w14:val="none"/>
        </w:rPr>
        <w:t>.</w:t>
      </w:r>
    </w:p>
    <w:p w14:paraId="4A3ABE8A" w14:textId="4576A79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L</w:t>
      </w:r>
      <w:r w:rsidRPr="00362751">
        <w:rPr>
          <w:rFonts w:ascii="Arial" w:eastAsia="Times New Roman" w:hAnsi="Arial" w:cs="Arial"/>
          <w:kern w:val="0"/>
          <w:sz w:val="20"/>
          <w:szCs w:val="20"/>
          <w14:ligatures w14:val="none"/>
        </w:rPr>
        <w:t>‘</w:t>
      </w:r>
      <w:r w:rsidRPr="00362751">
        <w:rPr>
          <w:rFonts w:ascii="Arial" w:eastAsia="Times New Roman" w:hAnsi="Arial" w:cs="Arial"/>
          <w:kern w:val="0"/>
          <w:sz w:val="20"/>
          <w:szCs w:val="20"/>
          <w14:ligatures w14:val="none"/>
        </w:rPr>
        <w:t>ERM aide les organisations à recenser, évaluer, prioriser et gérer les risques de façon coordonnée et stratégique.</w:t>
      </w:r>
    </w:p>
    <w:p w14:paraId="4AAC995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intégrant les considérations relatives aux risques aux processus de planification et de prise de décision, l'ERM permet aux décideurs publics et aux administrateurs publics d'évaluer de manière plus systématique les possibilités et les menaces potentielles, d'améliorer l'affectation des ressources et de renforcer la résilience organisationnelle.</w:t>
      </w:r>
    </w:p>
    <w:p w14:paraId="5A84477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Un cadre d'ERM mature fournit également aux décideurs des informations en temps opportun sur l'efficacité des contrôles et les vulnérabilités organisationnelles, favorisant ainsi une supervision mieux éclairée et démontrant une diligence raisonnable envers les citoyens, les assemblées législatives et les autres parties prenantes.</w:t>
      </w:r>
    </w:p>
    <w:p w14:paraId="1FB6B9C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programmes d'ERM sont également essentiels à la résilience organisationnelle et à la continuité des activités. Les gouvernements doivent continuer à fournir des services essentiels pendant des crises telles que les catastrophes naturelles, les pandémies, les cyberattaques, les perturbations économiques ou les incidents de sécurité.</w:t>
      </w:r>
    </w:p>
    <w:p w14:paraId="40012849"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recensant les risques de manière proactive et en élaborant des stratégies d'atténuation ainsi que des plans de contingence, l'ERM aide les gouvernements et les organisations du secteur public à anticiper ces perturbations, à y répondre plus efficacement lorsqu'elles surviennent et à rétablir plus rapidement leurs activités, contribuant ainsi à préserver la confiance du public et à favoriser l'atteinte à long terme des objectifs de politique publique.</w:t>
      </w:r>
    </w:p>
    <w:p w14:paraId="0773461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Dans le cadre de toute évaluation des lois et règlements applicables à l'audit interne du secteur public, les décideurs publics devraient également évaluer l'approche retenue par leur gouvernement en matière d'ERM afin de s'assurer qu'elle est robuste, adéquatement soutenue et qu'elle met à profit les technologies les plus récentes ainsi que les pratiques exemplaires. </w:t>
      </w:r>
    </w:p>
    <w:p w14:paraId="48BACD27"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DES SYSTÈMES DE CONTRÔLE INTERNE BIEN CONÇUS</w:t>
      </w:r>
    </w:p>
    <w:p w14:paraId="415D2E2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tant que composante essentielle d'un système efficace de gestion des risques d'entreprise (ERM), les contrôles internes d'un gouvernement constituent l'un des mécanismes les plus importants pour protéger les ressources publiques et favoriser l'atteinte des objectifs organisationnels.</w:t>
      </w:r>
    </w:p>
    <w:p w14:paraId="2EC077F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Des contrôles internes déficients peuvent contribuer à la fraude, au gaspillage, aux abus, aux pertes financières, aux défaillances opérationnelles, aux manquements à la conformité et aux atteintes à la réputation.</w:t>
      </w:r>
    </w:p>
    <w:p w14:paraId="28C72AD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Sans un système de contrôle interne bien conçu, les auditeurs internes ne seront pas en mesure de fournir une assurance quant au fonctionnement efficace du gouvernement.</w:t>
      </w:r>
    </w:p>
    <w:p w14:paraId="7BC3CB2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décideurs publics devraient accorder une attention particulière aux processus d'établissement des systèmes de contrôle interne, aux compétences et aux qualifications des personnes responsables de leur </w:t>
      </w:r>
      <w:r w:rsidRPr="00362751">
        <w:rPr>
          <w:rFonts w:ascii="Arial" w:eastAsia="Times New Roman" w:hAnsi="Arial" w:cs="Arial"/>
          <w:kern w:val="0"/>
          <w:sz w:val="20"/>
          <w:szCs w:val="20"/>
          <w14:ligatures w14:val="none"/>
        </w:rPr>
        <w:lastRenderedPageBreak/>
        <w:t>conception, ainsi qu'aux ressources qui soutiennent ces systèmes. (Les auditeurs internes peuvent également jouer un rôle de conseil important dans l'élaboration et l'amélioration de ces systèmes, pourvu qu'ils n'assument aucune responsabilité de gestion à leur égard.)</w:t>
      </w:r>
    </w:p>
    <w:p w14:paraId="21558ED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parties prenantes gouvernementales sont mal servies, même lorsque les fonctions d'audit interne du secteur public sont bien conçues et adéquatement soutenues, si les systèmes de contrôle interne ne sont pas eux-mêmes correctement conçus et appuyés.</w:t>
      </w:r>
    </w:p>
    <w:p w14:paraId="6A55380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Par conséquent, la conception de contrôles internes efficaces et le soutien que leur accorde la direction devraient constituer une priorité pour les gouvernements.</w:t>
      </w:r>
    </w:p>
    <w:p w14:paraId="4D53F97C"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LUTTE CONTRE LA FRAUDE ET LA CORRUPTION</w:t>
      </w:r>
    </w:p>
    <w:p w14:paraId="2996EF9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estime que les gouvernements devraient adopter un cadre global de lutte contre la fraude et la corruption qui mette l'accent non seulement sur la détection des actes répréhensibles après qu'ils se sont produits, mais également sur leur prévention, leur détection précoce et une intervention efficace lorsqu'ils sont découverts.</w:t>
      </w:r>
    </w:p>
    <w:p w14:paraId="1E71B8F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risques de fraude et de corruption existent dans pratiquement tous les secteurs d'activité des gouvernements, notamment les marchés publics, la passation de contrats, la délivrance de permis et d'autorisations, l'administration des subventions, des aides et des programmes d'assistance, les prestations publiques, la fiscalité, les douanes, les projets d'infrastructure et l'application de la réglementation.</w:t>
      </w:r>
    </w:p>
    <w:p w14:paraId="0BD1980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Un cadre efficace de lutte contre la fraude et la corruption devrait donc être intégré au dispositif global de gouvernance, de gestion des risques et de contrôle interne du gouvernement.</w:t>
      </w:r>
    </w:p>
    <w:p w14:paraId="02C2E6A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fondement de tout programme de lutte contre la fraude et la corruption réside dans un leadership fort et une culture éthique.</w:t>
      </w:r>
    </w:p>
    <w:p w14:paraId="0A17ED9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organes de gouvernance, les ministres, les dirigeants d'organismes et les hauts fonctionnaires devraient clairement communiquer que la fraude, la corruption, le détournement de fonds, les conflits d'intérêts et l'abus d'autorité ne seront pas tolérés.</w:t>
      </w:r>
    </w:p>
    <w:p w14:paraId="5302679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 ton donné par la direction » est important, mais les gestes et les décisions concrètes des dirigeants gouvernementaux le sont tout autant.</w:t>
      </w:r>
    </w:p>
    <w:p w14:paraId="1E4BE88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établir des codes de conduite, des exigences relatives aux conflits d'intérêts, des mécanismes de divulgation financière lorsque cela est approprié, des programmes de formation en éthique ainsi que des processus disciplinaires appliqués de manière uniforme, quel que soit le poste ou le niveau hiérarchique.</w:t>
      </w:r>
    </w:p>
    <w:p w14:paraId="6123685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employés doivent être convaincus que les comportements éthiques sont attendus et que les inconduites feront l'objet de mesures appropriées.</w:t>
      </w:r>
    </w:p>
    <w:p w14:paraId="35F35470"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Les gouvernements devraient également réaliser périodiquement des évaluations des risques de fraude et de corruption.</w:t>
      </w:r>
    </w:p>
    <w:p w14:paraId="52FB2E78"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Tous les risques ne présentent pas le même niveau d'importance; les ressources devraient donc être concentrées sur les domaines les plus vulnérables.</w:t>
      </w:r>
    </w:p>
    <w:p w14:paraId="09328D03"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 xml:space="preserve">Une attention particulière devrait être accordée aux marchés publics, à la passation de contrats, à la gestion des fonds, aux subventions, à la gestion des actifs publics, aux systèmes informatiques ainsi </w:t>
      </w:r>
      <w:r w:rsidRPr="00362751">
        <w:rPr>
          <w:rFonts w:ascii="Arial" w:hAnsi="Arial" w:cs="Arial"/>
          <w:sz w:val="20"/>
          <w:szCs w:val="20"/>
        </w:rPr>
        <w:lastRenderedPageBreak/>
        <w:t>qu'aux programmes de dépenses d'urgence, qui ont historiquement présenté des risques élevés de fraude.</w:t>
      </w:r>
    </w:p>
    <w:p w14:paraId="73585047"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Enfin, les gouvernements devraient veiller à ce que les multiples fonctions de supervision et d'assurance collaborent afin de promouvoir l'intégrité.</w:t>
      </w:r>
    </w:p>
    <w:p w14:paraId="1E0CA9BC"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La direction est responsable de la prévention et de la gestion des risques de fraude, tandis que les fonctions de conformité, d'éthique, des services juridiques, des inspecteurs généraux, des organismes de lutte contre la corruption et les autres fonctions similaires assurent la supervision et apportent leur expertise spécialisée.</w:t>
      </w:r>
    </w:p>
    <w:p w14:paraId="66D84106"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L'audit interne devrait évaluer de manière indépendante si les contrôles de lutte contre la fraude et la corruption sont adéquatement conçus et fonctionnent efficacement.</w:t>
      </w:r>
    </w:p>
    <w:p w14:paraId="11437812"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Ensemble, ces mécanismes constituent un système de prévention, de détection, d'intervention et de reddition de comptes qui contribue à protéger les ressources publiques et à maintenir la confiance du public envers les institutions gouvernementales.</w:t>
      </w:r>
    </w:p>
    <w:p w14:paraId="7C7ABA24"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AUDIT DE PERFORMANCE</w:t>
      </w:r>
    </w:p>
    <w:p w14:paraId="0B43E1D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estime que les gouvernements devraient reconnaître l'audit de performance comme une composante importante d'un cadre moderne de gouvernance du secteur public.</w:t>
      </w:r>
    </w:p>
    <w:p w14:paraId="463C3BE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Alors que les audits financiers visent principalement à déterminer si les états financiers sont présentés fidèlement et que les audits de conformité évaluent le respect des lois, des règlements et des politiques applicables, les audits de performance examinent si les programmes gouvernementaux atteignent leurs objectifs de manière efficace, efficiente et économique.</w:t>
      </w:r>
    </w:p>
    <w:p w14:paraId="0FD26F8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audits de performance permettent aux décideurs publics de mieux comprendre si les ressources publiques produisent les résultats attendus et si les programmes gouvernementaux offrent une valeur optimale aux citoyens.</w:t>
      </w:r>
    </w:p>
    <w:p w14:paraId="170E1FE9"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encourager les fonctions d'audit interne à intégrer, lorsque cela est approprié, des missions d'audit de performance à leurs plans d'audit fondés sur les risques.</w:t>
      </w:r>
    </w:p>
    <w:p w14:paraId="13EADD2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auditeurs internes peuvent formuler des recommandations précieuses visant à améliorer la conception des programmes, l'efficience opérationnelle, la prestation des services, la mesure du rendement, la gestion des ressources et l'atteinte des objectifs stratégiques.</w:t>
      </w:r>
    </w:p>
    <w:p w14:paraId="3432DAC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également reconnaître que les fonctions d'audit interne et les institutions supérieures de contrôle des finances publiques peuvent toutes deux réaliser des audits de performance. Une coordination efficace entre ces deux fonctions peut réduire les chevauchements, optimiser l'utilisation des ressources d'audit et renforcer la valeur globale des activités d'assurance dans le secteur public.</w:t>
      </w:r>
    </w:p>
    <w:p w14:paraId="11E338C0"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RÉSILIENCE EN SITUATION DE CRISE ET RÉSILIENCE ORGANISATIONNELLE</w:t>
      </w:r>
    </w:p>
    <w:p w14:paraId="5504DAB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événements récents survenus à l'échelle mondiale ont démontré que les gouvernements doivent être prêts à faire face à des crises d'une ampleur et d'une complexité sans précédent.</w:t>
      </w:r>
    </w:p>
    <w:p w14:paraId="36487F52"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pandémies, les cyberattaques, les catastrophes naturelles, les conflits géopolitiques, les perturbations économiques et les défaillances d'infrastructures critiques peuvent tous compromettre la capacité des gouvernements à fournir des services essentiels.</w:t>
      </w:r>
    </w:p>
    <w:p w14:paraId="16492D8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Les décideurs publics devraient veiller à ce que les gouvernements disposent de cadres solides de résilience organisationnelle et de continuité des activités afin de maintenir les opérations essentielles pendant les périodes de crise.</w:t>
      </w:r>
    </w:p>
    <w:p w14:paraId="10646B7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fonctions d'audit interne peuvent jouer un rôle important en fournissant une assurance indépendante sur la conception et l'efficacité des plans de continuité des activités, des plans de reprise après sinistre, des dispositifs de gestion de crise et des capacités globales de résilience organisationnelle.</w:t>
      </w:r>
    </w:p>
    <w:p w14:paraId="777C4CE9"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auditeurs internes peuvent également formuler des recommandations visant à renforcer la préparation, à améliorer les mécanismes d'intervention et à accroître la capacité des gouvernements à se rétablir rapidement après des événements perturbateurs.</w:t>
      </w:r>
    </w:p>
    <w:p w14:paraId="769F70D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considérer la résilience organisationnelle comme une responsabilité permanente en matière de gouvernance plutôt que comme une activité ponctuelle de préparation aux situations d'urgence.</w:t>
      </w:r>
    </w:p>
    <w:p w14:paraId="5DB7EA99"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intégrant les considérations relatives à la résilience dans les cadres de gouvernance, de gestion des risques et de contrôle interne, les gouvernements seront mieux en mesure de protéger les services publics essentiels, de préserver la confiance du public et de soutenir l'atteinte de leurs objectifs de politique publique à long terme.</w:t>
      </w:r>
    </w:p>
    <w:p w14:paraId="60F7C77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2A5934BE" w14:textId="77777777" w:rsidR="00362751" w:rsidRPr="00362751" w:rsidRDefault="00362751" w:rsidP="00362751">
      <w:pPr>
        <w:spacing w:before="100" w:beforeAutospacing="1" w:after="100" w:afterAutospacing="1" w:line="240" w:lineRule="auto"/>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Veiller à ce que le secteur public dispose d’auditeurs internes qualifiés, compétents et professionnels</w:t>
      </w:r>
    </w:p>
    <w:p w14:paraId="3B4924E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Un audit interne efficace dans le secteur public dépend de la compétence, de l’intégrité, du professionnalisme et du jugement des personnes qui réalisent les travaux d’audit interne. À mesure que les responsabilités des auditeurs internes continuent de s’élargir, les attentes relatives aux qualifications professionnelles et aux compétences doivent également évoluer. Par conséquent, les gouvernements devraient soutenir des politiques qui favorisent l’excellence professionnelle, la formation continue, la conduite éthique et les qualifications reconnues à l’échelle internationale pour les auditeurs internes du secteur public.</w:t>
      </w:r>
    </w:p>
    <w:p w14:paraId="76F436D5" w14:textId="11E891FA"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estime que l’investissement dans les compétences professionnelles et la certification constitue l’un des moyens les plus efficaces pour les gouvernements de renforcer la gouvernance et la reddition de comptes dans le secteur public.</w:t>
      </w:r>
    </w:p>
    <w:p w14:paraId="4DB183A2" w14:textId="77777777" w:rsidR="00362751" w:rsidRPr="00362751" w:rsidRDefault="00362751" w:rsidP="00362751">
      <w:pPr>
        <w:spacing w:before="100" w:beforeAutospacing="1" w:after="100" w:afterAutospacing="1" w:line="240" w:lineRule="auto"/>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ÉTABLIR DES ATTENTES APPROPRIÉES EN MATIÈRE DE COMPÉTENCES</w:t>
      </w:r>
    </w:p>
    <w:p w14:paraId="2E13C54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auditeurs internes du secteur public devraient posséder les connaissances, les compétences et le jugement professionnel nécessaires pour exercer efficacement leurs responsabilités. Les exigences en matière de compétences varieront selon le rôle, l’organisation et l’environnement de risques. Toutefois, les gouvernements devraient veiller à ce que les auditeurs internes possèdent collectivement une expertise dans des domaines tels que :</w:t>
      </w:r>
    </w:p>
    <w:p w14:paraId="47832934"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gouvernance et la supervision organisationnelle; </w:t>
      </w:r>
    </w:p>
    <w:p w14:paraId="0DD07A86"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gestion des risques; </w:t>
      </w:r>
    </w:p>
    <w:p w14:paraId="11F916DD"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contrôles internes; </w:t>
      </w:r>
    </w:p>
    <w:p w14:paraId="1BEEC7E5"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gestion financière; </w:t>
      </w:r>
    </w:p>
    <w:p w14:paraId="32776B18"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méthodes d’audit; </w:t>
      </w:r>
    </w:p>
    <w:p w14:paraId="2A543576"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gestion des risques de fraude; </w:t>
      </w:r>
    </w:p>
    <w:p w14:paraId="7B93BD1D"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 xml:space="preserve">les technologies de l’information et la cybersécurité; </w:t>
      </w:r>
    </w:p>
    <w:p w14:paraId="6DCB0C26"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l’analytique de données; </w:t>
      </w:r>
    </w:p>
    <w:p w14:paraId="219E0F5C"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gouvernance de l’intelligence artificielle; </w:t>
      </w:r>
    </w:p>
    <w:p w14:paraId="47BFF225"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l’administration du secteur public; </w:t>
      </w:r>
    </w:p>
    <w:p w14:paraId="29B95859" w14:textId="77777777" w:rsidR="00362751" w:rsidRPr="00362751" w:rsidRDefault="00362751" w:rsidP="00362751">
      <w:pPr>
        <w:numPr>
          <w:ilvl w:val="0"/>
          <w:numId w:val="20"/>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l’audit de performance. </w:t>
      </w:r>
    </w:p>
    <w:p w14:paraId="467F1F2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éviter les modèles de compétences trop étroits qui se concentrent exclusivement sur les compétences en comptabilité ou en conformité. L’audit interne moderne dans le secteur public exige de plus en plus une expertise multidisciplinaire.</w:t>
      </w:r>
    </w:p>
    <w:p w14:paraId="15DC012E" w14:textId="77777777" w:rsidR="00362751" w:rsidRPr="00362751" w:rsidRDefault="00362751" w:rsidP="00362751">
      <w:pPr>
        <w:spacing w:before="100" w:beforeAutospacing="1" w:after="100" w:afterAutospacing="1" w:line="240" w:lineRule="auto"/>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SOUTENIR LA FORMATION PROFESSIONNELLE CONTINUE</w:t>
      </w:r>
    </w:p>
    <w:p w14:paraId="3425F08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 compétence professionnelle n’est pas statique. L’environnement de risques auquel les gouvernements sont confrontés continue d’évoluer rapidement, ce qui oblige les auditeurs internes à mettre continuellement à jour leurs connaissances et leurs compétences. Les gouvernements devraient encourager les auditeurs internes du secteur public à participer à des programmes de formation professionnelle continue (CPE) portant à la fois sur les compétences fondamentales en audit et sur les sujets émergents. À cet égard, les gouvernements pourraient souhaiter établir des exigences minimales annuelles de CPE pour les auditeurs internes du secteur public, en particulier ceux qui occupent des postes de direction dans l’audit.</w:t>
      </w:r>
    </w:p>
    <w:p w14:paraId="2E89CC21" w14:textId="77777777" w:rsidR="00362751" w:rsidRPr="00362751" w:rsidRDefault="00362751" w:rsidP="00362751">
      <w:pPr>
        <w:spacing w:before="100" w:beforeAutospacing="1" w:after="100" w:afterAutospacing="1" w:line="240" w:lineRule="auto"/>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SOUTENIR LES CERTIFICATIONS PROFESSIONNELLES RECONNUES À L’ÉCHELLE INTERNATIONALE</w:t>
      </w:r>
    </w:p>
    <w:p w14:paraId="7768DA5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certifications professionnelles constituent un mécanisme important pour démontrer la compétence et l’engagement envers les normes professionnelles. L’IIA encourage les gouvernements à reconnaître et à soutenir les certifications d’audit interne reconnues à l’échelle internationale.</w:t>
      </w:r>
    </w:p>
    <w:p w14:paraId="0C8D18F8" w14:textId="77777777" w:rsidR="00362751" w:rsidRPr="00781770" w:rsidRDefault="00362751" w:rsidP="00362751">
      <w:pPr>
        <w:spacing w:before="100" w:beforeAutospacing="1" w:after="100" w:afterAutospacing="1" w:line="240" w:lineRule="auto"/>
        <w:rPr>
          <w:rFonts w:ascii="Arial" w:eastAsia="Times New Roman" w:hAnsi="Arial" w:cs="Arial"/>
          <w:b/>
          <w:bCs/>
          <w:color w:val="70AD47" w:themeColor="accent6"/>
          <w:kern w:val="0"/>
          <w:sz w:val="20"/>
          <w:szCs w:val="20"/>
          <w14:ligatures w14:val="none"/>
        </w:rPr>
      </w:pPr>
      <w:r w:rsidRPr="00781770">
        <w:rPr>
          <w:rFonts w:ascii="Arial" w:eastAsia="Times New Roman" w:hAnsi="Arial" w:cs="Arial"/>
          <w:b/>
          <w:bCs/>
          <w:color w:val="70AD47" w:themeColor="accent6"/>
          <w:kern w:val="0"/>
          <w:sz w:val="20"/>
          <w:szCs w:val="20"/>
          <w14:ligatures w14:val="none"/>
        </w:rPr>
        <w:t>Certified Internal Auditor (CIA)</w:t>
      </w:r>
    </w:p>
    <w:p w14:paraId="1C03A20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titre Certified Internal Auditor est la certification professionnelle phare de L’IIA et est reconnu à l’échelle mondiale comme la certification de premier plan pour les auditeurs internes.</w:t>
      </w:r>
    </w:p>
    <w:p w14:paraId="526AFE3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CIA démontre la maîtrise des domaines suivants :</w:t>
      </w:r>
    </w:p>
    <w:p w14:paraId="6DA8705B" w14:textId="77777777" w:rsidR="00362751" w:rsidRPr="00362751" w:rsidRDefault="00362751" w:rsidP="00362751">
      <w:pPr>
        <w:numPr>
          <w:ilvl w:val="0"/>
          <w:numId w:val="2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gouvernance; </w:t>
      </w:r>
    </w:p>
    <w:p w14:paraId="71EB391C" w14:textId="77777777" w:rsidR="00362751" w:rsidRPr="00362751" w:rsidRDefault="00362751" w:rsidP="00362751">
      <w:pPr>
        <w:numPr>
          <w:ilvl w:val="0"/>
          <w:numId w:val="2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gestion des risques; </w:t>
      </w:r>
    </w:p>
    <w:p w14:paraId="67FAD025" w14:textId="77777777" w:rsidR="00362751" w:rsidRPr="00362751" w:rsidRDefault="00362751" w:rsidP="00362751">
      <w:pPr>
        <w:numPr>
          <w:ilvl w:val="0"/>
          <w:numId w:val="2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contrôles internes; </w:t>
      </w:r>
    </w:p>
    <w:p w14:paraId="1C1007B7" w14:textId="77777777" w:rsidR="00362751" w:rsidRPr="00362751" w:rsidRDefault="00362751" w:rsidP="00362751">
      <w:pPr>
        <w:numPr>
          <w:ilvl w:val="0"/>
          <w:numId w:val="2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pratiques d’audit interne; </w:t>
      </w:r>
    </w:p>
    <w:p w14:paraId="2E04BD04" w14:textId="77777777" w:rsidR="00362751" w:rsidRPr="00362751" w:rsidRDefault="00362751" w:rsidP="00362751">
      <w:pPr>
        <w:numPr>
          <w:ilvl w:val="0"/>
          <w:numId w:val="21"/>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l’éthique professionnelle. </w:t>
      </w:r>
    </w:p>
    <w:p w14:paraId="06D40B8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encourage les gouvernements à reconnaître le CIA comme une qualification professionnelle importante pour les auditeurs internes du secteur public. Les gouvernements pourraient envisager d’exiger ou de privilégier fortement la certification CIA pour les postes de direction de l’audit interne dans le secteur public, en particulier les postes de responsable de l’audit interne.</w:t>
      </w:r>
    </w:p>
    <w:p w14:paraId="0FCA57E4" w14:textId="77777777" w:rsidR="00362751" w:rsidRPr="00781770" w:rsidRDefault="00362751" w:rsidP="00362751">
      <w:pPr>
        <w:spacing w:before="100" w:beforeAutospacing="1" w:after="100" w:afterAutospacing="1" w:line="240" w:lineRule="auto"/>
        <w:rPr>
          <w:rFonts w:ascii="Arial" w:eastAsia="Times New Roman" w:hAnsi="Arial" w:cs="Arial"/>
          <w:b/>
          <w:bCs/>
          <w:color w:val="70AD47" w:themeColor="accent6"/>
          <w:kern w:val="0"/>
          <w:sz w:val="20"/>
          <w:szCs w:val="20"/>
          <w14:ligatures w14:val="none"/>
        </w:rPr>
      </w:pPr>
      <w:r w:rsidRPr="00781770">
        <w:rPr>
          <w:rFonts w:ascii="Arial" w:eastAsia="Times New Roman" w:hAnsi="Arial" w:cs="Arial"/>
          <w:b/>
          <w:bCs/>
          <w:color w:val="70AD47" w:themeColor="accent6"/>
          <w:kern w:val="0"/>
          <w:sz w:val="20"/>
          <w:szCs w:val="20"/>
          <w14:ligatures w14:val="none"/>
        </w:rPr>
        <w:t>Internal Audit Practitioner (IAP)</w:t>
      </w:r>
    </w:p>
    <w:p w14:paraId="609A7B4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 titre Internal Audit Practitioner constitue un titre d’entrée dans la profession pour les personnes qui commencent leur carrière en audit interne. L’IAP peut aider les gouvernements à développer des viviers de talents en audit interne tout en initiant les nouveaux professionnels aux principes et pratiques d’audit interne reconnus à l’échelle internationale.</w:t>
      </w:r>
    </w:p>
    <w:p w14:paraId="217733A6" w14:textId="77777777" w:rsidR="00362751" w:rsidRPr="00781770" w:rsidRDefault="00362751" w:rsidP="00362751">
      <w:pPr>
        <w:spacing w:before="100" w:beforeAutospacing="1" w:after="100" w:afterAutospacing="1" w:line="240" w:lineRule="auto"/>
        <w:rPr>
          <w:rFonts w:ascii="Arial" w:eastAsia="Times New Roman" w:hAnsi="Arial" w:cs="Arial"/>
          <w:b/>
          <w:bCs/>
          <w:color w:val="70AD47" w:themeColor="accent6"/>
          <w:kern w:val="0"/>
          <w:sz w:val="20"/>
          <w:szCs w:val="20"/>
          <w14:ligatures w14:val="none"/>
        </w:rPr>
      </w:pPr>
      <w:r w:rsidRPr="00781770">
        <w:rPr>
          <w:rFonts w:ascii="Arial" w:eastAsia="Times New Roman" w:hAnsi="Arial" w:cs="Arial"/>
          <w:b/>
          <w:bCs/>
          <w:color w:val="70AD47" w:themeColor="accent6"/>
          <w:kern w:val="0"/>
          <w:sz w:val="20"/>
          <w:szCs w:val="20"/>
          <w14:ligatures w14:val="none"/>
        </w:rPr>
        <w:lastRenderedPageBreak/>
        <w:t>Titres et certificats spécialisés</w:t>
      </w:r>
    </w:p>
    <w:p w14:paraId="7505224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À mesure que les risques continuent d’évoluer, les gouvernements pourraient également trouver utile de soutenir des titres professionnels et certificats spécialisés liés à des domaines tels que :</w:t>
      </w:r>
    </w:p>
    <w:p w14:paraId="6100AF65" w14:textId="77777777" w:rsidR="00362751" w:rsidRPr="00362751" w:rsidRDefault="00362751" w:rsidP="00362751">
      <w:pPr>
        <w:numPr>
          <w:ilvl w:val="0"/>
          <w:numId w:val="2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l’audit des technologies de l’information et de la cybersécurité; </w:t>
      </w:r>
    </w:p>
    <w:p w14:paraId="725598F8" w14:textId="77777777" w:rsidR="00362751" w:rsidRPr="00362751" w:rsidRDefault="00362751" w:rsidP="00362751">
      <w:pPr>
        <w:numPr>
          <w:ilvl w:val="0"/>
          <w:numId w:val="2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gouvernance de l’intelligence artificielle; </w:t>
      </w:r>
    </w:p>
    <w:p w14:paraId="58DA55C8" w14:textId="77777777" w:rsidR="00362751" w:rsidRPr="00362751" w:rsidRDefault="00362751" w:rsidP="00362751">
      <w:pPr>
        <w:numPr>
          <w:ilvl w:val="0"/>
          <w:numId w:val="2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l’analytique de données; </w:t>
      </w:r>
    </w:p>
    <w:p w14:paraId="4B19C4E1" w14:textId="77777777" w:rsidR="00362751" w:rsidRPr="00362751" w:rsidRDefault="00362751" w:rsidP="00362751">
      <w:pPr>
        <w:numPr>
          <w:ilvl w:val="0"/>
          <w:numId w:val="2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l’examen de la fraude; </w:t>
      </w:r>
    </w:p>
    <w:p w14:paraId="36A2C2CE" w14:textId="77777777" w:rsidR="00362751" w:rsidRPr="00362751" w:rsidRDefault="00362751" w:rsidP="00362751">
      <w:pPr>
        <w:numPr>
          <w:ilvl w:val="0"/>
          <w:numId w:val="22"/>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gestion des risques. </w:t>
      </w:r>
    </w:p>
    <w:p w14:paraId="1D18353A"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Ces titres devraient généralement être considérés comme des compléments aux titres fondamentaux en audit interne, plutôt que comme des substituts.</w:t>
      </w:r>
    </w:p>
    <w:p w14:paraId="7F92BFB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3528E4C0"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Promouvoir l'utilisation de technologies de pointe, de l'analytique de données ainsi que des capacités d'audit en cybersécurité et en intelligence artificielle</w:t>
      </w:r>
    </w:p>
    <w:p w14:paraId="77B10332" w14:textId="3BD1964A"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veiller à ce que les fonctions d'audit interne du secteur public disposent des capacités technologiques et des ressources nécessaires pour évaluer des risques organisationnels de plus en plus complexes. La transformation numérique a fondamentalement modifié la façon dont les gouvernements fonctionnent, fournissent des services, gèrent l'information, interagissent avec les citoyens et réalisent leurs objectifs de politique publique. Bien que ces évolutions aient créé d'importantes possibilités d'améliorer l'efficacité et l'innovation, elles ont également introduit de nouveaux risques susceptibles d'affecter la confiance du public, la résilience organisationnelle, la prestation des services, la protection de la vie privée et la sécurité nationale.</w:t>
      </w:r>
    </w:p>
    <w:p w14:paraId="2F48852B"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SOUTENIR L'AUDIT INTERNE APPUYÉ PAR LA TECHNOLOGIE</w:t>
      </w:r>
    </w:p>
    <w:p w14:paraId="316A434D" w14:textId="0D0A4D9C"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Dans la mesure du possible, les gouvernements devraient encourager les fonctions d'audit interne à tirer parti des technologies les plus récentes pour réaliser leurs activités d'audit.</w:t>
      </w:r>
      <w:r>
        <w:rPr>
          <w:rFonts w:ascii="Arial" w:eastAsia="Times New Roman" w:hAnsi="Arial" w:cs="Arial"/>
          <w:kern w:val="0"/>
          <w:sz w:val="20"/>
          <w:szCs w:val="20"/>
          <w14:ligatures w14:val="none"/>
        </w:rPr>
        <w:t xml:space="preserve">  </w:t>
      </w:r>
      <w:r w:rsidRPr="00362751">
        <w:rPr>
          <w:rFonts w:ascii="Arial" w:eastAsia="Times New Roman" w:hAnsi="Arial" w:cs="Arial"/>
          <w:kern w:val="0"/>
          <w:sz w:val="20"/>
          <w:szCs w:val="20"/>
          <w14:ligatures w14:val="none"/>
        </w:rPr>
        <w:t>L'audit interne appuyé par la technologie peut améliorer la couverture des audits, l'efficacité des missions, l'identification des risques, l'analyse des données, la surveillance continue, la détection des anomalies et des irrégularités, ainsi que le suivi de la mise en œuvre des recommandations.</w:t>
      </w:r>
    </w:p>
    <w:p w14:paraId="54A4B6C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L'utilisation de technologies modernes peut également permettre aux auditeurs internes de fournir aux décideurs des analyses et des informations plus pertinentes et en temps opportun.</w:t>
      </w:r>
    </w:p>
    <w:p w14:paraId="4E04563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gouvernements devraient faire en sorte que les fonctions d'audit interne aient accès aux outils technologiques et aux ressources appropriés dont elles ont besoin pour exercer efficacement leurs responsabilités. </w:t>
      </w:r>
    </w:p>
    <w:p w14:paraId="7BDA0C54"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PROMOUVOIR L'ANALYTIQUE DE DONNÉES</w:t>
      </w:r>
    </w:p>
    <w:p w14:paraId="7717E28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produisent et gèrent d'énormes volumes de données. L'utilisation de l'analytique de données peut considérablement accroître la capacité des auditeurs internes à cerner les tendances, à détecter les anomalies, à évaluer les risques et à apprécier la performance organisationnelle.</w:t>
      </w:r>
    </w:p>
    <w:p w14:paraId="6A5A6A8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soutenir le développement des capacités des fonctions d'audit interne dans des domaines tels que :</w:t>
      </w:r>
    </w:p>
    <w:p w14:paraId="29B57EE8" w14:textId="77777777" w:rsidR="00362751" w:rsidRPr="00362751" w:rsidRDefault="00362751" w:rsidP="00362751">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 xml:space="preserve">l'extraction et l'analyse de données; </w:t>
      </w:r>
    </w:p>
    <w:p w14:paraId="32D25729" w14:textId="77777777" w:rsidR="00362751" w:rsidRPr="00362751" w:rsidRDefault="00362751" w:rsidP="00362751">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les outils de visualisation; </w:t>
      </w:r>
    </w:p>
    <w:p w14:paraId="4A66814E" w14:textId="77777777" w:rsidR="00362751" w:rsidRPr="00362751" w:rsidRDefault="00362751" w:rsidP="00362751">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l'analytique prédictive; </w:t>
      </w:r>
    </w:p>
    <w:p w14:paraId="597B7D21" w14:textId="77777777" w:rsidR="00362751" w:rsidRPr="00362751" w:rsidRDefault="00362751" w:rsidP="00362751">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surveillance continue; </w:t>
      </w:r>
    </w:p>
    <w:p w14:paraId="717C3520" w14:textId="77777777" w:rsidR="00362751" w:rsidRPr="00362751" w:rsidRDefault="00362751" w:rsidP="00362751">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détection des fraudes; </w:t>
      </w:r>
    </w:p>
    <w:p w14:paraId="450EFA2C" w14:textId="77777777" w:rsidR="00362751" w:rsidRPr="00362751" w:rsidRDefault="00362751" w:rsidP="00362751">
      <w:pPr>
        <w:numPr>
          <w:ilvl w:val="0"/>
          <w:numId w:val="23"/>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l'identification des risques. </w:t>
      </w:r>
    </w:p>
    <w:p w14:paraId="6AA032E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estime que l'analytique de données devrait devenir de plus en plus une composante essentielle de l'audit interne moderne dans le secteur public. Les organisations qui utilisent efficacement l'analytique de données seront davantage en mesure de réussir à long terme.</w:t>
      </w:r>
    </w:p>
    <w:p w14:paraId="1ECD248E"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RENFORCER LES CAPACITÉS D'AUDIT EN CYBERSÉCURITÉ ET EN INFORMATIQUE EN NUAGE</w:t>
      </w:r>
    </w:p>
    <w:p w14:paraId="3F00194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 cybersécurité représente aujourd'hui l'un des risques les plus importants auxquels les gouvernements sont confrontés. Les cyberincidents peuvent notamment avoir des répercussions sur les infrastructures essentielles, les services publics, les données des citoyens, la sécurité nationale, les systèmes financiers et les activités gouvernementales.</w:t>
      </w:r>
    </w:p>
    <w:p w14:paraId="01D598E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À mesure que les cybermenaces évoluent, les gouvernements devraient veiller à ce que les fonctions d'audit interne disposent de l'expertise nécessaire pour évaluer la gouvernance de la cybersécurité, les contrôles de cybersécurité et les pratiques de gestion des cyberrisques.</w:t>
      </w:r>
    </w:p>
    <w:p w14:paraId="7A57719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domaines devant faire l'objet d'une attention particulière dans le cadre des audits comprennent notamment la gouvernance de la cybersécurité, la gestion des identités et des accès, la planification des interventions en cas d'incident, la protection des données, la continuité des activités et la reprise après sinistre, ainsi que les programmes de sensibilisation à la cybersécurité.</w:t>
      </w:r>
    </w:p>
    <w:p w14:paraId="07ACA27F"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auditeurs internes ne sont pas des responsables opérationnels de la cybersécurité. Ils devraient toutefois être en mesure d'évaluer de façon indépendante si les cyberrisques sont gérés de manière appropriée.</w:t>
      </w:r>
    </w:p>
    <w:p w14:paraId="04E28BE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estime également qu'il est important d'accorder une attention particulière à l'informatique en nuage (</w:t>
      </w:r>
      <w:r w:rsidRPr="00362751">
        <w:rPr>
          <w:rFonts w:ascii="Arial" w:eastAsia="Times New Roman" w:hAnsi="Arial" w:cs="Arial"/>
          <w:i/>
          <w:iCs/>
          <w:kern w:val="0"/>
          <w:sz w:val="20"/>
          <w:szCs w:val="20"/>
          <w14:ligatures w14:val="none"/>
        </w:rPr>
        <w:t>cloud computing</w:t>
      </w:r>
      <w:r w:rsidRPr="00362751">
        <w:rPr>
          <w:rFonts w:ascii="Arial" w:eastAsia="Times New Roman" w:hAnsi="Arial" w:cs="Arial"/>
          <w:kern w:val="0"/>
          <w:sz w:val="20"/>
          <w:szCs w:val="20"/>
          <w14:ligatures w14:val="none"/>
        </w:rPr>
        <w:t>) et aux autres ententes avec des tiers. Les gouvernements s'appuient de plus en plus sur des fournisseurs de services infonuagiques, des éditeurs de logiciels, des fournisseurs de services gérés et d'autres tiers pour soutenir leurs activités essentielles. Bien que ces ententes procurent des avantages importants, elles introduisent également de nouveaux risques.</w:t>
      </w:r>
    </w:p>
    <w:p w14:paraId="021CCA8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Par conséquent, les gouvernements devraient veiller à ce que les fonctions d'audit interne disposent de l'autorité et de l'expertise nécessaires pour évaluer les pratiques de gestion des risques liés aux tiers et les dispositifs de gouvernance de l'informatique en nuage. À mesure que la dépendance envers les fournisseurs de services externes s'accroît, une supervision efficace de ces relations devient de plus en plus importante.</w:t>
      </w:r>
    </w:p>
    <w:p w14:paraId="64C7244F"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ÉVALUER LA GOUVERNANCE DE L'INTELLIGENCE ARTIFICIELLE</w:t>
      </w:r>
    </w:p>
    <w:p w14:paraId="46C8C76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L'intelligence artificielle est de plus en plus utilisée par les gouvernements et les organisations du secteur public, notamment pour améliorer la prestation des services, détecter les fraudes, automatiser l'administration des prestations et renforcer la surveillance en matière de sécurité publique. Bien que le déploiement de l'IA offre des possibilités considérables, il introduit également des risques liés à la transparence, à l'exactitude et à la fiabilité (p. ex., les hallucinations), à la protection de la vie privée et à la sécurité. Les gouvernements devraient veiller à ce que les fonctions d'audit interne soient en mesure d'évaluer les cadres de gouvernance de l'IA et de fournir une assurance quant à l'utilisation responsable des technologies d'IA.</w:t>
      </w:r>
    </w:p>
    <w:p w14:paraId="1F95EEE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Il ne fait aucun doute que la gouvernance de l'IA deviendra, au cours des prochaines années, un domaine de plus en plus important pour l'audit interne. Le moment est venu de commencer à préparer les auditeurs internes à leurs nouvelles responsabilités.</w:t>
      </w:r>
    </w:p>
    <w:p w14:paraId="55FA7712"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RECONNAÎTRE LES LIMITES ET LES RISQUES DE LA TECHNOLOGIE</w:t>
      </w:r>
    </w:p>
    <w:p w14:paraId="04B6CA0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 technologie peut considérablement améliorer les activités d'audit interne, mais elle ne remplace pas le jugement professionnel. Les gouvernements devraient éviter de supposer que la technologie, à elle seule, peut résoudre les défis liés à la gouvernance, à la gestion des risques ou aux contrôles. La technologie elle-même introduit des risques, notamment les biais algorithmiques, les problèmes de qualité des données, les vulnérabilités en matière de cybersécurité, les défaillances des modèles, les préoccupations relatives à la protection de la vie privée et une dépendance excessive à l'égard des processus automatisés.</w:t>
      </w:r>
    </w:p>
    <w:p w14:paraId="73704162"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auditeurs internes devraient maintenir un juste équilibre entre les analyses appuyées par la technologie et le scepticisme professionnel. L'IIA estime que la technologie devrait renforcer le jugement humain plutôt que le remplacer.</w:t>
      </w:r>
    </w:p>
    <w:p w14:paraId="34892F35"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 rythme des changements technologiques ne devrait pas ralentir. Les avancées émergentes en matière d'intelligence artificielle, d'informatique quantique, d'automatisation, d'analytique avancée, de systèmes d'identité numérique et d'autres innovations continueront de transformer le secteur public. Les gouvernements devraient s'efforcer d'établir et de soutenir des fonctions d'audit interne suffisamment agiles, adaptables et tournées vers l'avenir pour évaluer ces risques et ces possibilités en constante évolution. </w:t>
      </w:r>
    </w:p>
    <w:p w14:paraId="1BC7D7E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0D501F4E"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Améliorer la coordination et la communication entre les auditeurs internes et les parties prenantes externes</w:t>
      </w:r>
    </w:p>
    <w:p w14:paraId="55CDBAE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Une gouvernance efficace du secteur public repose sur les efforts coordonnés de nombreuses institutions qui, collectivement, favorisent la reddition de comptes, la transparence, l'intégrité et la gestion responsable des ressources publiques. Les fonctions d'audit interne n'exercent pas leurs activités de façon isolée. Elles font plutôt partie d'un écosystème plus vaste de reddition de comptes du secteur public, qui peut comprendre les institutions supérieures de contrôle des finances publiques (ISC), les vérificateurs généraux, les inspecteurs généraux, les assemblées législatives, les organismes de lutte contre la corruption, les organismes de réglementation, les organismes responsables de l'éthique, les auditeurs externes et d'autres organismes de surveillance. Chacune de ces institutions joue un rôle important dans la promotion d'une bonne gouvernance.</w:t>
      </w:r>
    </w:p>
    <w:p w14:paraId="5087A89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établir des cadres qui favorisent une coordination appropriée et le partage d'information entre ces institutions, tout en préservant l'indépendance, l'objectivité et les responsabilités distinctes de chacune.</w:t>
      </w:r>
    </w:p>
    <w:p w14:paraId="7F5AF0E1"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Il est important de reconnaître que ces institutions diffèrent souvent de façon importante quant à leur mandat, leurs pouvoirs, leur champ de compétence, leurs liens hiérarchiques, leurs exigences en matière d'indépendance et les attentes de leurs parties prenantes. L'IIA encourage les décideurs publics à reconnaître ces distinctions et à éviter les politiques qui créent des chevauchements, des doubles emplois ou de la confusion quant aux responsabilités. Des mécanismes solides de reddition de comptes exigent une définition claire des responsabilités de chacun.</w:t>
      </w:r>
    </w:p>
    <w:p w14:paraId="5ED7F401"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FAVORISER UNE COORDINATION APPROPRIÉE AVEC LES INSTITUTIONS SUPÉRIEURES DE CONTRÔLE DES FINANCES PUBLIQUES (ISC)</w:t>
      </w:r>
    </w:p>
    <w:p w14:paraId="1DB8A56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Dans de nombreux ressorts, les institutions supérieures de contrôle des finances publiques (ISC) constituent la principale autorité chargée de l'audit externe du gouvernement. Bien que leurs mandats varient, les ISC examinent fréquemment les états financiers, la conformité, la performance, la reddition de comptes et les dépenses publiques.</w:t>
      </w:r>
    </w:p>
    <w:p w14:paraId="4FAE2E7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fonctions d'audit interne et les ISC examinent souvent des sujets similaires et poursuivent des objectifs communs. Les gouvernements devraient encourager une coordination appropriée entre ces fonctions afin de réduire les chevauchements, d'améliorer l'efficience, d'accroître la couverture des audits, de partager les renseignements pertinents et d'améliorer l'identification des risques.</w:t>
      </w:r>
    </w:p>
    <w:p w14:paraId="683A7BF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Toutefois, cette coordination ne devrait pas compromettre l'indépendance de l'une ou l'autre des parties. Les gouvernements devraient veiller à ce que les auditeurs internes demeurent responsables envers leur organisation, tandis que les ISC conservent leur rôle indépendant de surveillance externe. </w:t>
      </w:r>
    </w:p>
    <w:p w14:paraId="1FB0A75D"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RENFORCER LES RELATIONS AVEC LES INSPECTEURS GÉNÉRAUX ET LES AUTRES ORGANISMES DE SURVEILLANCE SIMILAIRES</w:t>
      </w:r>
    </w:p>
    <w:p w14:paraId="5711528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De nombreux gouvernements font appel à des inspecteurs généraux, à des contrôleurs généraux, à des organismes de lutte contre la corruption ou à d'autres institutions similaires pour enquêter sur les actes répréhensibles et promouvoir la reddition de comptes. Ces organismes se concentrent souvent sur la fraude, la corruption, les abus de pouvoir, le gaspillage, les inconduites et l'intégrité des programmes.</w:t>
      </w:r>
    </w:p>
    <w:p w14:paraId="4E980AA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fonctions d'audit interne peuvent relever des situations qui justifient un renvoi à ces organismes. Les gouvernements devraient établir des protocoles clairs régissant le partage de l'information, les processus de renvoi, les mécanismes de coordination, la protection de la confidentialité et le maintien de l'indépendance. Une coordination efficace peut renforcer la reddition de comptes tout en veillant à ce que chaque institution exerce ses activités dans les limites de son mandat.</w:t>
      </w:r>
    </w:p>
    <w:p w14:paraId="39DD0A3F"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ENCOURAGER DES RELATIONS CONSTRUCTIVES AVEC LES ASSEMBLÉES LÉGISLATIVES</w:t>
      </w:r>
    </w:p>
    <w:p w14:paraId="6FDEF67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assemblées législatives jouent un rôle essentiel dans la surveillance des activités gouvernementales et dans la reddition de comptes envers les citoyens. Les fonctions d'audit interne peuvent fournir des renseignements précieux qui aident les décideurs publics à mieux comprendre les risques, les enjeux de gouvernance et la performance organisationnelle.</w:t>
      </w:r>
    </w:p>
    <w:p w14:paraId="57A21C6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même temps, les gouvernements devraient soigneusement concilier la surveillance exercée par les assemblées législatives avec la nécessité de préserver l'indépendance de l'audit interne et l'efficacité organisationnelle.</w:t>
      </w:r>
    </w:p>
    <w:p w14:paraId="012982B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encourage les décideurs publics à établir des mécanismes permettant aux assemblées législatives de recevoir des renseignements utiles sur les activités d'audit interne, sans pour autant politiser la fonction d'audit interne.</w:t>
      </w:r>
    </w:p>
    <w:p w14:paraId="3087E59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auditeurs internes devraient demeurer des conseillers professionnels indépendants, et non devenir des acteurs politiques.</w:t>
      </w:r>
    </w:p>
    <w:p w14:paraId="687FC685"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ÉVITER LES CHEVAUCHEMENTS ET LA SURCHARGE DE SURVEILLANCE</w:t>
      </w:r>
    </w:p>
    <w:p w14:paraId="08EFBA8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Des chevauchements excessifs entre les institutions responsables de la reddition de comptes peuvent entraîner des coûts inutiles et un fardeau administratif excessif. Les organisations peuvent faire l'objet de multiples examens portant essentiellement sur les mêmes sujets tout en recevant des recommandations divergentes de différents organismes de surveillance.</w:t>
      </w:r>
    </w:p>
    <w:p w14:paraId="6FD416A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Les gouvernements devraient chercher à réduire les chevauchements inutiles en favorisant :</w:t>
      </w:r>
    </w:p>
    <w:p w14:paraId="3676BCD2" w14:textId="77777777" w:rsidR="00362751" w:rsidRPr="00362751" w:rsidRDefault="00362751" w:rsidP="00362751">
      <w:pPr>
        <w:numPr>
          <w:ilvl w:val="0"/>
          <w:numId w:val="2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une coordination fondée sur les risques; </w:t>
      </w:r>
    </w:p>
    <w:p w14:paraId="04369331" w14:textId="77777777" w:rsidR="00362751" w:rsidRPr="00362751" w:rsidRDefault="00362751" w:rsidP="00362751">
      <w:pPr>
        <w:numPr>
          <w:ilvl w:val="0"/>
          <w:numId w:val="2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une planification concertée, lorsque cela est approprié; </w:t>
      </w:r>
    </w:p>
    <w:p w14:paraId="3CB97C8B" w14:textId="77777777" w:rsidR="00362751" w:rsidRPr="00362751" w:rsidRDefault="00362751" w:rsidP="00362751">
      <w:pPr>
        <w:numPr>
          <w:ilvl w:val="0"/>
          <w:numId w:val="2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le recours aux travaux existants; </w:t>
      </w:r>
    </w:p>
    <w:p w14:paraId="32EBADC0" w14:textId="77777777" w:rsidR="00362751" w:rsidRPr="00362751" w:rsidRDefault="00362751" w:rsidP="00362751">
      <w:pPr>
        <w:numPr>
          <w:ilvl w:val="0"/>
          <w:numId w:val="2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la communication entre les organismes de surveillance; </w:t>
      </w:r>
    </w:p>
    <w:p w14:paraId="16755CA5" w14:textId="77777777" w:rsidR="00362751" w:rsidRPr="00362751" w:rsidRDefault="00362751" w:rsidP="00362751">
      <w:pPr>
        <w:numPr>
          <w:ilvl w:val="0"/>
          <w:numId w:val="24"/>
        </w:num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une délimitation claire des responsabilités. </w:t>
      </w:r>
    </w:p>
    <w:p w14:paraId="4EF41062" w14:textId="693B76B7" w:rsidR="00362751" w:rsidRDefault="00362751" w:rsidP="00362751">
      <w:pPr>
        <w:spacing w:before="100" w:beforeAutospacing="1" w:after="100" w:afterAutospacing="1" w:line="240" w:lineRule="auto"/>
        <w:rPr>
          <w:rFonts w:ascii="Arial" w:hAnsi="Arial" w:cs="Arial"/>
          <w:sz w:val="20"/>
          <w:szCs w:val="20"/>
        </w:rPr>
      </w:pPr>
      <w:r w:rsidRPr="00362751">
        <w:rPr>
          <w:rFonts w:ascii="Arial" w:eastAsia="Times New Roman" w:hAnsi="Arial" w:cs="Arial"/>
          <w:kern w:val="0"/>
          <w:sz w:val="20"/>
          <w:szCs w:val="20"/>
          <w14:ligatures w14:val="none"/>
        </w:rPr>
        <w:t>La réduction des chevauchements peut améliorer l'efficience tout en permettant aux organismes de surveillance de concentrer leurs efforts sur les domaines présentant les risques les plus importants et le plus grand intérêt public.</w:t>
      </w:r>
    </w:p>
    <w:p w14:paraId="41371DAA" w14:textId="04256CA0"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REDDITION DE COMPTES PUBLIQUE, TRANSPARENCE ET COMMUNICATION APPROPRIÉE D'INFORMATIONS AU PUBLIC</w:t>
      </w:r>
    </w:p>
    <w:p w14:paraId="7A79D34D"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définitive, les fonctions d'audit interne du secteur public servent l'intérêt général. Par conséquent, les gouvernements devraient réfléchir à la façon dont les activités d'audit interne contribuent à la reddition de comptes publique et à la transparence.</w:t>
      </w:r>
    </w:p>
    <w:p w14:paraId="2EAC3B4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 communication d'informations au public peut renforcer la confiance envers les institutions gouvernementales. En même temps, les décideurs publics doivent établir un juste équilibre entre la transparence et les préoccupations légitimes liées à la protection de la vie privée, à la sécurité nationale, à l'application de la loi, aux renseignements commerciaux confidentiels, aux questions relatives au personnel et aux enquêtes en cours.</w:t>
      </w:r>
    </w:p>
    <w:p w14:paraId="206B6B9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encourage les gouvernements à élaborer des approches réfléchies et équilibrées en matière de communication d'informations au public qui favorisent la reddition de comptes tout en protégeant les intérêts légitimes en matière de confidentialité.</w:t>
      </w:r>
    </w:p>
    <w:p w14:paraId="540A3972"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examiner s'il convient que les fonctions d'audit interne du secteur public communiquent périodiquement des informations concernant les plans d'audit, les missions d'audit réalisées, les constatations importantes, les taux de mise en œuvre des recommandations ainsi que les indicateurs de performance de la fonction d'audit interne.</w:t>
      </w:r>
    </w:p>
    <w:p w14:paraId="75A3223F" w14:textId="2996154D"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Toutefois, les rapports d'audit interne contiennent souvent des renseignements sensibles qui ne se prêtent pas à une divulgation publique. Les gouvernements devraient éviter les pratiques de divulgation susceptibles de compromettre la sécurité, de révéler des renseignements confidentiels, de décourager des communications internes franches ou de nuire à des enquêtes en cours.</w:t>
      </w:r>
      <w:r>
        <w:rPr>
          <w:rFonts w:ascii="Arial" w:eastAsia="Times New Roman" w:hAnsi="Arial" w:cs="Arial"/>
          <w:kern w:val="0"/>
          <w:sz w:val="20"/>
          <w:szCs w:val="20"/>
          <w14:ligatures w14:val="none"/>
        </w:rPr>
        <w:t xml:space="preserve">  </w:t>
      </w:r>
      <w:r w:rsidRPr="00362751">
        <w:rPr>
          <w:rFonts w:ascii="Arial" w:eastAsia="Times New Roman" w:hAnsi="Arial" w:cs="Arial"/>
          <w:kern w:val="0"/>
          <w:sz w:val="20"/>
          <w:szCs w:val="20"/>
          <w14:ligatures w14:val="none"/>
        </w:rPr>
        <w:t>L'objectif devrait être une transparence utile et significative, plutôt qu'une divulgation systématique et sans discernement.</w:t>
      </w:r>
    </w:p>
    <w:p w14:paraId="59CFA6A6" w14:textId="7DBBF7D8" w:rsidR="00362751" w:rsidRPr="00362751" w:rsidRDefault="00362751" w:rsidP="00362751">
      <w:pPr>
        <w:rPr>
          <w:rFonts w:ascii="Arial" w:eastAsia="Times New Roman" w:hAnsi="Arial" w:cs="Arial"/>
          <w:b/>
          <w:bCs/>
          <w:color w:val="00B0F0"/>
          <w:kern w:val="0"/>
          <w:sz w:val="48"/>
          <w:szCs w:val="48"/>
          <w14:ligatures w14:val="none"/>
        </w:rPr>
      </w:pPr>
      <w:r>
        <w:rPr>
          <w:rFonts w:ascii="Arial" w:eastAsia="Times New Roman" w:hAnsi="Arial" w:cs="Arial"/>
          <w:b/>
          <w:bCs/>
          <w:color w:val="00B0F0"/>
          <w:kern w:val="0"/>
          <w:sz w:val="48"/>
          <w:szCs w:val="48"/>
          <w14:ligatures w14:val="none"/>
        </w:rPr>
        <w:br w:type="page"/>
      </w:r>
      <w:r w:rsidRPr="00362751">
        <w:rPr>
          <w:rFonts w:ascii="Arial" w:eastAsia="Times New Roman" w:hAnsi="Arial" w:cs="Arial"/>
          <w:b/>
          <w:bCs/>
          <w:color w:val="00B0F0"/>
          <w:kern w:val="0"/>
          <w:sz w:val="48"/>
          <w:szCs w:val="48"/>
          <w14:ligatures w14:val="none"/>
        </w:rPr>
        <w:lastRenderedPageBreak/>
        <w:t>RECOMMANDATIONS</w:t>
      </w:r>
      <w:r w:rsidRPr="00362751">
        <w:rPr>
          <w:rFonts w:ascii="Arial" w:eastAsia="Times New Roman" w:hAnsi="Arial" w:cs="Arial"/>
          <w:b/>
          <w:bCs/>
          <w:kern w:val="0"/>
          <w:sz w:val="48"/>
          <w:szCs w:val="48"/>
          <w14:ligatures w14:val="none"/>
        </w:rPr>
        <w:t xml:space="preserve"> SUR LES PRATIQUES FACULTATIVES ET ÉMERGENTES</w:t>
      </w:r>
    </w:p>
    <w:p w14:paraId="0E39035A" w14:textId="77777777" w:rsidR="00362751" w:rsidRDefault="00362751" w:rsidP="00362751">
      <w:pPr>
        <w:spacing w:before="100" w:beforeAutospacing="1" w:after="100" w:afterAutospacing="1" w:line="240" w:lineRule="auto"/>
        <w:rPr>
          <w:rFonts w:eastAsia="Times New Roman" w:cstheme="minorHAnsi"/>
          <w:i/>
          <w:iCs/>
          <w:kern w:val="0"/>
          <w:sz w:val="20"/>
          <w:szCs w:val="20"/>
          <w14:ligatures w14:val="none"/>
        </w:rPr>
      </w:pPr>
      <w:r w:rsidRPr="00362751">
        <w:rPr>
          <w:rFonts w:eastAsia="Times New Roman" w:cstheme="minorHAnsi"/>
          <w:b/>
          <w:bCs/>
          <w:i/>
          <w:iCs/>
          <w:kern w:val="0"/>
          <w:sz w:val="20"/>
          <w:szCs w:val="20"/>
          <w14:ligatures w14:val="none"/>
        </w:rPr>
        <w:t>La pertinence</w:t>
      </w:r>
      <w:r w:rsidRPr="00362751">
        <w:rPr>
          <w:rFonts w:eastAsia="Times New Roman" w:cstheme="minorHAnsi"/>
          <w:i/>
          <w:iCs/>
          <w:kern w:val="0"/>
          <w:sz w:val="20"/>
          <w:szCs w:val="20"/>
          <w14:ligatures w14:val="none"/>
        </w:rPr>
        <w:t xml:space="preserve"> des recommandations présentées dans la présente section peut varier selon les pays, en fonction de leur contexte politique et culturel particulier. Les décideurs publics sont encouragés à travailler en étroite collaboration avec leur institut national afin d'examiner et de débattre chacune des recommandations, puis de retenir celles qui sont à la fois politiquement réalisables et qui constituent des composantes utiles du cadre juridique et réglementaire de leur pays en matière d'audit interne dans le secteur public.</w:t>
      </w:r>
    </w:p>
    <w:p w14:paraId="3AC533CC" w14:textId="77777777" w:rsidR="00362751" w:rsidRPr="00783D02" w:rsidRDefault="00362751" w:rsidP="00362751">
      <w:pPr>
        <w:spacing w:before="100" w:beforeAutospacing="1" w:after="100" w:afterAutospacing="1" w:line="240" w:lineRule="auto"/>
        <w:outlineLvl w:val="0"/>
        <w:rPr>
          <w:rFonts w:ascii="Helvetica" w:hAnsi="Helvetica"/>
          <w:i/>
          <w:iCs/>
          <w:sz w:val="20"/>
          <w:szCs w:val="20"/>
        </w:rPr>
      </w:pPr>
      <w:r w:rsidRPr="00E001D8">
        <w:rPr>
          <w:rFonts w:ascii="Arial" w:eastAsia="Times New Roman" w:hAnsi="Arial" w:cs="Arial"/>
          <w:color w:val="FFC000" w:themeColor="accent4"/>
          <w:kern w:val="36"/>
          <w:sz w:val="16"/>
          <w:szCs w:val="16"/>
          <w14:ligatures w14:val="none"/>
        </w:rPr>
        <w:t>-------------------------------------------------------------------------------------------------------------------------------------------------------------------------------</w:t>
      </w:r>
    </w:p>
    <w:p w14:paraId="3C424D64" w14:textId="06CB6A8C" w:rsidR="00362751" w:rsidRPr="00362751" w:rsidRDefault="00362751" w:rsidP="00362751">
      <w:pPr>
        <w:spacing w:after="0" w:line="240" w:lineRule="auto"/>
        <w:rPr>
          <w:rFonts w:ascii="Arial" w:eastAsia="Times New Roman" w:hAnsi="Arial" w:cs="Arial"/>
          <w:kern w:val="0"/>
          <w:sz w:val="20"/>
          <w:szCs w:val="20"/>
          <w14:ligatures w14:val="none"/>
        </w:rPr>
      </w:pPr>
    </w:p>
    <w:p w14:paraId="569FC9EC"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Explorer l'audit continu et l'assurance en temps réel</w:t>
      </w:r>
    </w:p>
    <w:p w14:paraId="4B123F5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explorer les possibilités de compléter les approches d'audit traditionnelles par des capacités d'audit continu et d'assurance en temps réel, lorsque cela est approprié. Historiquement, les activités d'audit interne reposaient largement sur des examens périodiques réalisés plusieurs mois, voire plusieurs années, après les événements examinés. Bien que ces approches demeurent utiles, les progrès technologiques permettent de plus en plus aux organisations de surveiller les risques et les contrôles de façon plus continue.</w:t>
      </w:r>
    </w:p>
    <w:p w14:paraId="1615004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techniques d'audit continu peuvent permettre aux organisations de détecter les problèmes plus rapidement, d'améliorer la surveillance des risques, de renforcer la détection des fraudes, d'accroître la supervision des activités à haut risque et de mieux répondre aux risques émergents. Elles peuvent notamment comprendre la surveillance continue des activités d'approvisionnement, l'examen automatisé des opérations financières, les rapports d'exception en temps réel, la surveillance continue de la cybersécurité ainsi que le suivi permanent des programmes à haut risque.</w:t>
      </w:r>
    </w:p>
    <w:p w14:paraId="3EB8F13F"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reconnaît que les coûts de mise en œuvre et les exigences techniques peuvent rendre l'audit continu peu pratique pour certaines organisations. Néanmoins, les gouvernements devraient réfléchir à la façon dont les technologies en constante évolution peuvent améliorer les activités d'assurance au fil du temps.</w:t>
      </w:r>
    </w:p>
    <w:p w14:paraId="33F171E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45958477"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Renforcer les protections accordées aux auditeurs internes du secteur public</w:t>
      </w:r>
    </w:p>
    <w:p w14:paraId="1407965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Bien que la plupart des auditeurs internes puissent exercer leurs fonctions avec succès, à l'abri de toute ingérence, pression indue ou coercition, il est malheureusement vrai que, dans certaines régions du monde, des auditeurs internes travaillent dans des environnements organisationnels où ils sont exposés à des représailles, à de l'intimidation, à du harcèlement, à un risque de congédiement et, dans certains cas, même à des menaces, à des actes de violence ou à des homicides pour avoir tenté d'exercer leurs fonctions de manière complète et appropriée. En effet, de nombreux cas de ce type ont été documentés à l'échelle mondiale.</w:t>
      </w:r>
    </w:p>
    <w:p w14:paraId="021F113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Chaque auditeur interne devrait pouvoir exercer ses fonctions dans un environnement sécuritaire. Le harcèlement et les menaces visant des auditeurs internes dans l'exercice de leurs fonctions devraient être interdits par la loi.</w:t>
      </w:r>
    </w:p>
    <w:p w14:paraId="7CE38E9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Des protections juridiques propres à certaines professions ne sont pas sans précédent. Dans certains ressorts, par exemple, des sanctions supplémentaires ou particulières s'appliquent aux personnes qui menacent, harcèlent ou agressent des policiers, des juges, des agents de bord, des agents de contrôle du stationnement ou des personnes exerçant d'autres professions particulièrement exposées à ce type d'agression. Si une telle loi est adoptée, elle devrait prévoir des sanctions appropriées, notamment des amendes et/ou des peines d'emprisonnement, à l'encontre des personnes qui portent atteinte aux auditeurs internes dans l'exercice de leurs fonctions.</w:t>
      </w:r>
    </w:p>
    <w:p w14:paraId="40E2387C"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Dans le cadre de leurs délibérations, L'IIA encourage les décideurs publics à déterminer si ces protections devraient s'appliquer uniquement aux auditeurs internes du secteur public ou à l'ensemble des auditeurs internes du pays.</w:t>
      </w:r>
    </w:p>
    <w:p w14:paraId="3440654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4CDF3D5D"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Renforcer les mécanismes de signalement des lanceurs d'alerte et les cadres d'éthique</w:t>
      </w:r>
    </w:p>
    <w:p w14:paraId="2B41F26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On entend généralement par signalement par un lanceur d'alerte le fait qu'une ou plusieurs personnes contournent les voies normales de signalement au sein d'une organisation afin de dénoncer un comportement inapproprié (et souvent illégal). Lorsqu'ils sont bien structurés, les programmes de signalement des lanceurs d'alerte constituent un moyen important pour les gouvernements de détecter les fraudes, la corruption, les détournements de fonds, le gaspillage, les violations des lois ou des politiques, les comportements contraires à l'éthique ainsi que d'autres activités problématiques, voire toxiques, qui nuisent au bon fonctionnement du gouvernement et, plus largement, du secteur public.</w:t>
      </w:r>
    </w:p>
    <w:p w14:paraId="1BFD1630"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appuie la mise en place de programmes de signalement des lanceurs d'alerte et de programmes d'éthique dans le cadre des politiques publiques lorsqu'ils contribuent à protéger les ressources des contribuables, les intérêts des investisseurs et des consommateurs, l'exactitude de l'information financière ainsi que la santé et la sécurité du public. Les programmes de signalement des lanceurs d'alerte devraient préserver la confidentialité, offrir la possibilité de signaler les faits de façon anonyme et prévoir des mesures robustes pour protéger les lanceurs d'alerte contre les représailles.</w:t>
      </w:r>
    </w:p>
    <w:p w14:paraId="5748EED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signalements internes effectués par des lanceurs d'alerte peuvent constituer un système d'alerte extrêmement précieux pour les auditeurs internes dans l'exercice de leurs fonctions, tandis que les signalements externes peuvent servir de déclencheur essentiel pour les enquêtes menées par les organismes de réglementation, les autorités chargées de l'application de la loi, les journalistes et les législateurs.</w:t>
      </w:r>
    </w:p>
    <w:p w14:paraId="23FF081E"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encourage les instituts nationaux, en collaboration avec les décideurs publics de leur pays, à établir des relations avec l'ensemble des parties prenantes qui militent en faveur des politiques relatives aux lanceurs d'alerte et d'autres pratiques exemplaires dans le secteur public, afin de déterminer quelles politiques seraient les plus efficaces et les plus appropriées dans leur pays, puis d'en promouvoir l'adoption.</w:t>
      </w:r>
    </w:p>
    <w:p w14:paraId="4D7DCE3E"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7C159C70" w14:textId="77777777" w:rsidR="00781770" w:rsidRPr="00362751" w:rsidRDefault="00781770" w:rsidP="00362751">
      <w:pPr>
        <w:spacing w:before="100" w:beforeAutospacing="1" w:after="100" w:afterAutospacing="1" w:line="240" w:lineRule="auto"/>
        <w:rPr>
          <w:rFonts w:ascii="Arial" w:eastAsia="Times New Roman" w:hAnsi="Arial" w:cs="Arial"/>
          <w:kern w:val="0"/>
          <w:sz w:val="20"/>
          <w:szCs w:val="20"/>
          <w14:ligatures w14:val="none"/>
        </w:rPr>
      </w:pPr>
    </w:p>
    <w:p w14:paraId="7B0A3EEC"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lastRenderedPageBreak/>
        <w:t>Faire progresser l'audit de la durabilité, de la gouvernance climatique et de la résilience des infrastructures essentielles</w:t>
      </w:r>
    </w:p>
    <w:p w14:paraId="531CEB6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Dans un monde marqué par des événements climatiques de plus en plus instables, L'IIA estime que les gouvernements devraient évaluer dans quelle mesure la durabilité, les risques liés au climat et la résilience des infrastructures essentielles sont pertinents au regard de leur environnement de risques et de leurs objectifs de politique publique. Ces enjeux touchent de plus en plus de gouvernements et d'organisations du secteur public en raison de leurs répercussions sur les infrastructures, la santé publique, la préparation aux catastrophes, les chaînes d'approvisionnement, les systèmes énergétiques, les systèmes d'approvisionnement en eau, les réseaux de transport et la planification budgétaire à long terme.</w:t>
      </w:r>
    </w:p>
    <w:p w14:paraId="1780B301"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reconnaît que les points de vue concernant la durabilité et les enjeux liés au climat peuvent varier considérablement d'un ressort à l'autre. En conséquence, les gouvernements devraient déterminer eux-mêmes dans quelle mesure ces questions constituent des risques importants nécessitant une planification, une supervision et des activités d'assurance. Lorsque ces risques sont importants, les fonctions d'audit interne peuvent fournir une assurance précieuse sur la gouvernance des risques, la planification de la résilience, les activités de préparation, la protection des infrastructures ainsi que les mécanismes de reddition de comptes et de communication de l'information.</w:t>
      </w:r>
    </w:p>
    <w:p w14:paraId="245DCA5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52730483"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Élaborer et financer des stratégies de développement du bassin de talents en audit interne et de modernisation des effectifs</w:t>
      </w:r>
    </w:p>
    <w:p w14:paraId="2180F05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jouent souvent un rôle important en influençant et en soutenant le développement du bassin de talents dans diverses professions. Plus précisément, ils peuvent élaborer des programmes de développement de carrière ou de développement de la main-d'œuvre qui aident les étudiants et les professionnels, tant au sein qu'à l'extérieur de l'administration publique, à atteindre leurs objectifs de carrière et à accéder à des études complémentaires, à des bourses d'études, à de la formation, à des stages, à des programmes d'apprentissage ou à une expérience spécialisée.</w:t>
      </w:r>
    </w:p>
    <w:p w14:paraId="6A909F1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appuie le principe de programmes gouvernementaux qui favorisent et offrent ce type de formation, de perfectionnement et d'apprentissage aux personnes exerçant la profession d'auditeur interne. En outre, L'IIA appuie les initiatives visant à financer des programmes universitaires et à élaborer des cursus dans les collèges et les universités afin d'enseigner l'audit interne et les disciplines connexes aux étudiants.</w:t>
      </w:r>
    </w:p>
    <w:p w14:paraId="4933B6E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instituts nationaux sont encouragés à travailler avec les décideurs publics afin de favoriser le développement du bassin de talents en audit interne dans leur pays et d'évaluer les moyens d'inciter les futurs auditeurs internes à intégrer le secteur public. Les décideurs publics pourraient souhaiter s'inspirer d'un programme de développement du bassin de talents pour les auditeurs internes du secteur public fondé sur d'autres programmes ayant fait leurs preuves dans leur pays ou sur des pratiques efficaces observées dans des programmes similaires ailleurs dans le monde.</w:t>
      </w:r>
    </w:p>
    <w:p w14:paraId="5FFD9B2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Afin de renforcer les compétences professionnelles, les décideurs publics devraient également envisager des moyens d'encourager les auditeurs internes du secteur public à obtenir des titres professionnels appropriés, tels que le CIA et l'IAP, ainsi qu'à participer à des programmes continus de formation et de perfectionnement professionnels afin de maintenir les compétences requises pour exercer leurs fonctions. Les programmes gouvernementaux qui prennent en charge, ou à tout le moins subventionnent, les droits d'examen, le matériel d'étude, les cotisations aux associations ou aux organismes professionnels et/ou les activités de formation professionnelle continue (CPE) des employés du gouvernement constituent une option permettant de faire progresser cet objectif. </w:t>
      </w:r>
    </w:p>
    <w:p w14:paraId="4A9422FA" w14:textId="1CD071C4" w:rsidR="00362751" w:rsidRPr="00362751" w:rsidRDefault="00362751" w:rsidP="00781770">
      <w:pPr>
        <w:rPr>
          <w:rFonts w:ascii="Arial" w:eastAsia="Times New Roman" w:hAnsi="Arial" w:cs="Arial"/>
          <w:b/>
          <w:bCs/>
          <w:kern w:val="0"/>
          <w:sz w:val="48"/>
          <w:szCs w:val="48"/>
          <w14:ligatures w14:val="none"/>
        </w:rPr>
      </w:pPr>
      <w:r>
        <w:rPr>
          <w:rFonts w:ascii="Arial" w:eastAsia="Times New Roman" w:hAnsi="Arial" w:cs="Arial"/>
          <w:b/>
          <w:bCs/>
          <w:kern w:val="0"/>
          <w:sz w:val="20"/>
          <w:szCs w:val="20"/>
          <w14:ligatures w14:val="none"/>
        </w:rPr>
        <w:br w:type="page"/>
      </w:r>
      <w:r w:rsidRPr="00362751">
        <w:rPr>
          <w:rFonts w:ascii="Arial" w:eastAsia="Times New Roman" w:hAnsi="Arial" w:cs="Arial"/>
          <w:b/>
          <w:bCs/>
          <w:color w:val="00B0F0"/>
          <w:kern w:val="0"/>
          <w:sz w:val="48"/>
          <w:szCs w:val="48"/>
          <w14:ligatures w14:val="none"/>
        </w:rPr>
        <w:lastRenderedPageBreak/>
        <w:t>RECOMMANDATIONS</w:t>
      </w:r>
      <w:r w:rsidRPr="00362751">
        <w:rPr>
          <w:rFonts w:ascii="Arial" w:eastAsia="Times New Roman" w:hAnsi="Arial" w:cs="Arial"/>
          <w:b/>
          <w:bCs/>
          <w:kern w:val="0"/>
          <w:sz w:val="48"/>
          <w:szCs w:val="48"/>
          <w14:ligatures w14:val="none"/>
        </w:rPr>
        <w:t xml:space="preserve"> SUR LES POLITIQUES PUBLIQUES À ÉVITER</w:t>
      </w:r>
    </w:p>
    <w:p w14:paraId="1BBA7C4B" w14:textId="2B21C4EE" w:rsidR="00362751" w:rsidRPr="00362751" w:rsidRDefault="00362751" w:rsidP="00362751">
      <w:pPr>
        <w:spacing w:before="100" w:beforeAutospacing="1" w:after="100" w:afterAutospacing="1" w:line="240" w:lineRule="auto"/>
        <w:rPr>
          <w:rFonts w:eastAsia="Times New Roman" w:cstheme="minorHAnsi"/>
          <w:i/>
          <w:iCs/>
          <w:kern w:val="0"/>
          <w:sz w:val="20"/>
          <w:szCs w:val="20"/>
          <w14:ligatures w14:val="none"/>
        </w:rPr>
      </w:pPr>
      <w:r w:rsidRPr="00362751">
        <w:rPr>
          <w:rFonts w:eastAsia="Times New Roman" w:cstheme="minorHAnsi"/>
          <w:i/>
          <w:iCs/>
          <w:kern w:val="0"/>
          <w:sz w:val="20"/>
          <w:szCs w:val="20"/>
          <w14:ligatures w14:val="none"/>
        </w:rPr>
        <w:t xml:space="preserve">Les recommandations présentées dans le présent document mettent en évidence les politiques que les gouvernements peuvent adopter pour renforcer l'audit interne dans le secteur public. Il est toutefois tout aussi important d'identifier </w:t>
      </w:r>
      <w:r w:rsidRPr="00362751">
        <w:rPr>
          <w:rFonts w:eastAsia="Times New Roman" w:cstheme="minorHAnsi"/>
          <w:b/>
          <w:bCs/>
          <w:i/>
          <w:iCs/>
          <w:kern w:val="0"/>
          <w:sz w:val="20"/>
          <w:szCs w:val="20"/>
          <w14:ligatures w14:val="none"/>
        </w:rPr>
        <w:t>les politiques que les gouvernements devraient aborder avec prudence, voire éviter complètement</w:t>
      </w:r>
      <w:r w:rsidRPr="00362751">
        <w:rPr>
          <w:rFonts w:eastAsia="Times New Roman" w:cstheme="minorHAnsi"/>
          <w:i/>
          <w:iCs/>
          <w:kern w:val="0"/>
          <w:sz w:val="20"/>
          <w:szCs w:val="20"/>
          <w14:ligatures w14:val="none"/>
        </w:rPr>
        <w:t>. Certaines approches en matière de politiques publiques peuvent affaiblir la profession, créer des obstacles inutiles, faire double emploi avec des mécanismes existants, accroître les coûts ou réduire la souplesse sans procurer d'avantages correspondants pour le public. Les recommandations qui suivent visent à aider les décideurs publics à éviter ces conséquences négatives involontaires tout en préservant l'indépendance, le professionnalisme, l'efficacité et le caractère autoréglementé de la profession d'auditeur interne.</w:t>
      </w:r>
    </w:p>
    <w:p w14:paraId="5C3F1C1E" w14:textId="77777777" w:rsidR="00362751" w:rsidRPr="00783D02" w:rsidRDefault="00362751" w:rsidP="00362751">
      <w:pPr>
        <w:spacing w:before="100" w:beforeAutospacing="1" w:after="100" w:afterAutospacing="1" w:line="240" w:lineRule="auto"/>
        <w:outlineLvl w:val="0"/>
        <w:rPr>
          <w:rFonts w:ascii="Helvetica" w:hAnsi="Helvetica"/>
          <w:i/>
          <w:iCs/>
          <w:sz w:val="20"/>
          <w:szCs w:val="20"/>
        </w:rPr>
      </w:pPr>
      <w:r w:rsidRPr="00E001D8">
        <w:rPr>
          <w:rFonts w:ascii="Arial" w:eastAsia="Times New Roman" w:hAnsi="Arial" w:cs="Arial"/>
          <w:color w:val="FFC000" w:themeColor="accent4"/>
          <w:kern w:val="36"/>
          <w:sz w:val="16"/>
          <w:szCs w:val="16"/>
          <w14:ligatures w14:val="none"/>
        </w:rPr>
        <w:t>-------------------------------------------------------------------------------------------------------------------------------------------------------------------------------</w:t>
      </w:r>
    </w:p>
    <w:p w14:paraId="21FDABF4" w14:textId="77777777" w:rsidR="00362751" w:rsidRPr="00362751" w:rsidRDefault="00362751" w:rsidP="00362751">
      <w:pPr>
        <w:spacing w:before="100" w:beforeAutospacing="1" w:after="100" w:afterAutospacing="1" w:line="240" w:lineRule="auto"/>
        <w:rPr>
          <w:rFonts w:eastAsia="Times New Roman" w:cstheme="minorHAnsi"/>
          <w:kern w:val="0"/>
          <w:sz w:val="20"/>
          <w:szCs w:val="20"/>
          <w14:ligatures w14:val="none"/>
        </w:rPr>
      </w:pPr>
    </w:p>
    <w:p w14:paraId="1F582A41" w14:textId="1459C586" w:rsidR="00362751" w:rsidRDefault="00362751" w:rsidP="00362751">
      <w:pPr>
        <w:spacing w:after="0" w:line="240" w:lineRule="auto"/>
        <w:rPr>
          <w:rFonts w:ascii="Arial" w:eastAsia="Times New Roman" w:hAnsi="Arial" w:cs="Arial"/>
          <w:kern w:val="0"/>
          <w:sz w:val="28"/>
          <w:szCs w:val="28"/>
          <w14:ligatures w14:val="none"/>
        </w:rPr>
      </w:pPr>
      <w:r w:rsidRPr="00362751">
        <w:rPr>
          <w:rFonts w:ascii="Arial" w:eastAsia="Times New Roman" w:hAnsi="Arial" w:cs="Arial"/>
          <w:b/>
          <w:bCs/>
          <w:kern w:val="0"/>
          <w:sz w:val="28"/>
          <w:szCs w:val="28"/>
          <w14:ligatures w14:val="none"/>
        </w:rPr>
        <w:t>Éviter ou abroger les monopoles inappropriés sur l'exercice de la profession d'auditeur interne</w:t>
      </w:r>
    </w:p>
    <w:p w14:paraId="5C6631FD" w14:textId="77C6C3F3"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éviter de créer des monopoles juridiques qui limitent l'exercice de la profession d'auditeur interne aux membres d'une profession ou d'un groupe professionnel particulier. L'audit interne est une profession distincte qui possède son propre corpus de connaissances, ses propres normes professionnelles, ses exigences déontologiques, ses méthodologies et ses compétences.</w:t>
      </w:r>
    </w:p>
    <w:p w14:paraId="579890F9"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Bien que de nombreux auditeurs internes soient issus de la comptabilité, </w:t>
      </w:r>
      <w:r w:rsidRPr="00362751">
        <w:rPr>
          <w:rFonts w:ascii="Arial" w:eastAsia="Times New Roman" w:hAnsi="Arial" w:cs="Arial"/>
          <w:b/>
          <w:bCs/>
          <w:i/>
          <w:iCs/>
          <w:kern w:val="0"/>
          <w:sz w:val="20"/>
          <w:szCs w:val="20"/>
          <w:u w:val="single"/>
          <w14:ligatures w14:val="none"/>
        </w:rPr>
        <w:t>l'audit interne n'est pas une sous-discipline de la comptabilité.</w:t>
      </w:r>
      <w:r w:rsidRPr="00362751">
        <w:rPr>
          <w:rFonts w:ascii="Arial" w:eastAsia="Times New Roman" w:hAnsi="Arial" w:cs="Arial"/>
          <w:kern w:val="0"/>
          <w:sz w:val="20"/>
          <w:szCs w:val="20"/>
          <w14:ligatures w14:val="none"/>
        </w:rPr>
        <w:t xml:space="preserve"> Les fonctions modernes d'audit interne exigent de plus en plus une expertise dans des domaines tels que les technologies de l'information, la cybersécurité, l'intelligence artificielle, l'analytique de données, la gestion des risques, l'administration publique, les infrastructures essentielles et les activités organisationnelles.</w:t>
      </w:r>
    </w:p>
    <w:p w14:paraId="498F314C" w14:textId="253B50B6"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qui réservent les postes d'auditeur interne exclusivement aux comptables ou à d'autres catégories professionnelles définies de manière restrictive réduisent involontairement l'accès à des expertises essentielles et affaiblissent l'efficacité des fonctions d'audit interne.</w:t>
      </w:r>
      <w:r>
        <w:rPr>
          <w:rFonts w:ascii="Arial" w:eastAsia="Times New Roman" w:hAnsi="Arial" w:cs="Arial"/>
          <w:kern w:val="0"/>
          <w:sz w:val="20"/>
          <w:szCs w:val="20"/>
          <w14:ligatures w14:val="none"/>
        </w:rPr>
        <w:t xml:space="preserve"> </w:t>
      </w:r>
      <w:r w:rsidRPr="00362751">
        <w:rPr>
          <w:rFonts w:ascii="Arial" w:eastAsia="Times New Roman" w:hAnsi="Arial" w:cs="Arial"/>
          <w:kern w:val="0"/>
          <w:sz w:val="20"/>
          <w:szCs w:val="20"/>
          <w14:ligatures w14:val="none"/>
        </w:rPr>
        <w:t xml:space="preserve">Lorsque de tels monopoles restrictifs existent déjà, les gouvernements devraient les abroger. </w:t>
      </w:r>
    </w:p>
    <w:p w14:paraId="0DF4518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67AB1A06"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Limiter tout registre gouvernemental des auditeurs internes au secteur public et éviter la délivrance de permis d'exercice gouvernementaux pour les auditeurs internes</w:t>
      </w:r>
    </w:p>
    <w:p w14:paraId="2A12557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L'IIA reconnaît que les gouvernements peuvent souhaiter tenir des registres des employés du gouvernement et du secteur public à des fins administratives. De tels registres peuvent être utiles pour la planification des effectifs, le suivi des titres professionnels, le suivi de la formation professionnelle continue (CPE) et le suivi du perfectionnement professionnel. Toutefois, lorsque les gouvernements choisissent d'établir de tels registres, L'IIA estime qu'ils devraient être limités aux seuls employés du gouvernement et du secteur public, plutôt que d'être étendus aux auditeurs internes du secteur privé. Les </w:t>
      </w:r>
      <w:r w:rsidRPr="00362751">
        <w:rPr>
          <w:rFonts w:ascii="Arial" w:eastAsia="Times New Roman" w:hAnsi="Arial" w:cs="Arial"/>
          <w:kern w:val="0"/>
          <w:sz w:val="20"/>
          <w:szCs w:val="20"/>
          <w14:ligatures w14:val="none"/>
        </w:rPr>
        <w:lastRenderedPageBreak/>
        <w:t>registres des auditeurs internes du secteur privé sont inutiles et incompatibles avec le modèle d'autoréglementation de la profession.</w:t>
      </w:r>
    </w:p>
    <w:p w14:paraId="1C655E52"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Lorsqu'un gouvernement a établi, ou envisage d'établir, un registre des auditeurs internes du gouvernement et du secteur public, il pourrait être opportun d'explorer, lorsque cela est approprié et mutuellement avantageux, des partenariats d'impartition avec les instituts nationaux. Dans certains ressorts, les instituts nationaux disposent déjà de l'infrastructure nécessaire pour assurer la vérification des titres professionnels, le suivi de la formation professionnelle continue (CPE), les activités de discipline et de supervision (D&amp;O) professionnelles ainsi que les initiatives de développement de la main-d'œuvre. De tels partenariats peuvent réduire les coûts, favoriser l'uniformité et mettre à profit l'expertise professionnelle existante. Toutefois, toute responsabilité déléguée devrait s'accompagner de mécanismes appropriés de financement et de supervision par le gouvernement.</w:t>
      </w:r>
    </w:p>
    <w:p w14:paraId="77E02A1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En plus de s'opposer aux registres du secteur privé, L'IIA s'oppose également à la délivrance de permis d'exercice gouvernementaux pour la pratique de l'audit interne. Les permis d'exercice délivrés par un gouvernement sont généralement exigés lorsque les décideurs publics estiment que le public a besoin d'une protection supplémentaire contre les risques importants pouvant découler de l'incompétence, de la négligence ou d'un comportement contraire à l'éthique des membres d'une profession.</w:t>
      </w:r>
    </w:p>
    <w:p w14:paraId="6DBB4D9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L'audit interne est largement reconnu dans le monde comme une profession autoréglementée parce que, dans la plupart des ressorts, son exercice ne présente pas les mêmes risques directs et immédiats pour la santé, la sécurité ou le bien-être du public que ceux qui justifient traditionnellement la délivrance de permis d'exercice par l'État. Contrairement aux médecins, aux ingénieurs, aux pilotes ou aux avocats, les auditeurs internes n'exercent pas de pouvoirs juridiques à l'égard des citoyens, ne prescrivent pas de traitements médicaux, ne conçoivent pas d'infrastructures publiques et ne fournissent pas de services dont une seule erreur professionnelle pourrait entraîner directement des préjudices corporels ou la perte de droits fondamentaux.</w:t>
      </w:r>
    </w:p>
    <w:p w14:paraId="459D1564" w14:textId="77777777" w:rsid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Au lieu d'un régime gouvernemental de délivrance de permis d'exercice, la profession d'auditeur interne est principalement régie par ses normes professionnelles du secteur privé, ses programmes de certification, ses codes de déontologie, ses exigences en matière d'assurance qualité ainsi que ses mécanismes de discipline et de supervision professionnelles administrés par des organisations telles que L'IIA. De plus, comme il a été indiqué précédemment, même si les travaux des auditeurs internes servent souvent l'intérêt général, leur mandat consiste à fournir des services d'assurance et de conseil à la direction et aux organes de gouvernance, et non à fournir directement des services au public. </w:t>
      </w:r>
    </w:p>
    <w:p w14:paraId="212930E3"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p>
    <w:p w14:paraId="7B273D1A" w14:textId="77777777"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Éviter de créer des titres professionnels gouvernementaux coûteux et redondants qui font concurrence aux titres professionnels internationaux existants</w:t>
      </w:r>
    </w:p>
    <w:p w14:paraId="2B5FFDD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devraient éviter de créer de nouveaux titres, désignations ou systèmes de qualification en audit interne qui font double emploi avec des titres professionnels déjà reconnus à l'échelle internationale. La profession bénéficie déjà de titres professionnels mondialement reconnus et largement respectés par les employeurs, les gouvernements, les établissements d'enseignement et les organisations professionnelles.</w:t>
      </w:r>
    </w:p>
    <w:p w14:paraId="1C9AE50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La création de nouveaux titres professionnels par un gouvernement exige des investissements considérables pour l'élaboration des examens, la validation psychométrique, la sécurité des examens, les systèmes technologiques, la mise à jour du contenu, l'administration de la formation professionnelle continue (CPE), le matériel de préparation aux examens ainsi que les mécanismes de discipline et de supervision. Toutes ces activités nécessitent des ressources importantes et une expertise soutenue.</w:t>
      </w:r>
    </w:p>
    <w:p w14:paraId="7D50D392"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lastRenderedPageBreak/>
        <w:t>Les gouvernements peuvent obtenir de meilleurs résultats en reconnaissant et en favorisant les titres professionnels existants, tels que le CIA, l'IAP et les autres titres professionnels et certificats spécialisés pertinents, plutôt qu'en créant et en administrant de nouveaux systèmes de qualification.</w:t>
      </w:r>
    </w:p>
    <w:p w14:paraId="20D17151"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CONSIDÉRATIONS RELATIVES AUX LANGUES ET À L'ACCESSIBILITÉ</w:t>
      </w:r>
    </w:p>
    <w:p w14:paraId="1DF4EBD9"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reconnaît que certains gouvernements exercent leurs activités dans des langues pour lesquelles les examens de certification et le matériel de préparation ne sont pas encore offerts pour ses certifications. Dans de telles situations, L'IIA est disposée à collaborer avec les gouvernements, les instituts nationaux et les organisations non gouvernementales (ONG) intéressés afin d'évaluer la faisabilité d'élargir l'accès à ses certifications dans d'autres langues.</w:t>
      </w:r>
    </w:p>
    <w:p w14:paraId="61603EC0" w14:textId="706CD56E" w:rsidR="00362751" w:rsidRDefault="00362751" w:rsidP="00362751">
      <w:pPr>
        <w:spacing w:before="100" w:beforeAutospacing="1" w:after="100" w:afterAutospacing="1" w:line="240" w:lineRule="auto"/>
        <w:rPr>
          <w:rFonts w:ascii="Arial" w:eastAsia="Times New Roman" w:hAnsi="Arial" w:cs="Arial"/>
          <w:b/>
          <w:bCs/>
          <w:kern w:val="0"/>
          <w:sz w:val="20"/>
          <w:szCs w:val="20"/>
          <w14:ligatures w14:val="none"/>
        </w:rPr>
      </w:pPr>
      <w:r w:rsidRPr="00362751">
        <w:rPr>
          <w:rFonts w:ascii="Arial" w:eastAsia="Times New Roman" w:hAnsi="Arial" w:cs="Arial"/>
          <w:kern w:val="0"/>
          <w:sz w:val="20"/>
          <w:szCs w:val="20"/>
          <w14:ligatures w14:val="none"/>
        </w:rPr>
        <w:t xml:space="preserve">L'IIA est d'avis que le financement des travaux de traduction représenterait, pour les gouvernements, une solution beaucoup moins coûteuse et beaucoup plus efficace que la création de nouveaux systèmes de qualification. </w:t>
      </w:r>
    </w:p>
    <w:p w14:paraId="6D608A70" w14:textId="77777777" w:rsidR="00362751" w:rsidRDefault="00362751" w:rsidP="00362751">
      <w:pPr>
        <w:spacing w:before="100" w:beforeAutospacing="1" w:after="100" w:afterAutospacing="1" w:line="240" w:lineRule="auto"/>
        <w:outlineLvl w:val="1"/>
        <w:rPr>
          <w:rFonts w:ascii="Arial" w:eastAsia="Times New Roman" w:hAnsi="Arial" w:cs="Arial"/>
          <w:b/>
          <w:bCs/>
          <w:kern w:val="0"/>
          <w:sz w:val="20"/>
          <w:szCs w:val="20"/>
          <w14:ligatures w14:val="none"/>
        </w:rPr>
      </w:pPr>
    </w:p>
    <w:p w14:paraId="6C363D15" w14:textId="44543420"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362751">
        <w:rPr>
          <w:rFonts w:ascii="Arial" w:eastAsia="Times New Roman" w:hAnsi="Arial" w:cs="Arial"/>
          <w:b/>
          <w:bCs/>
          <w:kern w:val="0"/>
          <w:sz w:val="28"/>
          <w:szCs w:val="28"/>
          <w14:ligatures w14:val="none"/>
        </w:rPr>
        <w:t>Limiter tout examen gouvernemental d'aptitude aux exigences d'emploi dans le secteur public</w:t>
      </w:r>
    </w:p>
    <w:p w14:paraId="77D22D1C"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gouvernements peuvent, dans certaines circonstances, souhaiter instaurer des examens d'aptitude pour les personnes qui désirent occuper un poste au sein d'une fonction d'audit interne du secteur public. De tels examens peuvent aider les gouvernements à évaluer les compétences, les connaissances et les aptitudes des candidats. L'IIA reconnaît que les gouvernements ont un intérêt légitime à s'assurer que les futurs employés possèdent les connaissances requises pour exercer des fonctions dans le secteur public.</w:t>
      </w:r>
    </w:p>
    <w:p w14:paraId="55198D52"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Toutefois, les gouvernements devraient faire une distinction entre les qualifications exigées pour un emploi dans le secteur public et la réglementation de l'ensemble de la profession.</w:t>
      </w:r>
    </w:p>
    <w:p w14:paraId="504F7042"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LIMITER LES EXIGENCES RELATIVES AUX EXAMENS AUX EMPLOYÉS DU SECTEUR PUBLIC</w:t>
      </w:r>
    </w:p>
    <w:p w14:paraId="12927C4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Lorsque des examens d'aptitude sont utilisés, ils devraient être limités aux auditeurs internes qui souhaitent occuper un emploi dans le secteur public. L'IIA déconseille fortement d'étendre cette exigence aux auditeurs internes exerçant dans le secteur privé. Les employeurs du secteur privé sont généralement les mieux placés pour évaluer les qualifications et les compétences des candidats sans intervention gouvernementale. Étendre les examens d'aptitude à l'ensemble de la profession crée des obstacles inutiles à l'exercice de la profession, accroît les coûts, réduit la mobilité de la main-d'œuvre et affaiblit le modèle d'autoréglementation de la profession.</w:t>
      </w:r>
    </w:p>
    <w:p w14:paraId="18B683A4" w14:textId="77777777" w:rsidR="00362751" w:rsidRPr="00362751"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362751">
        <w:rPr>
          <w:rFonts w:ascii="Arial" w:eastAsia="Times New Roman" w:hAnsi="Arial" w:cs="Arial"/>
          <w:b/>
          <w:bCs/>
          <w:color w:val="00B0F0"/>
          <w:kern w:val="0"/>
          <w:sz w:val="20"/>
          <w:szCs w:val="20"/>
          <w14:ligatures w14:val="none"/>
        </w:rPr>
        <w:t>RECONNAÎTRE LES COMPÉTENCES AU MOYEN DES TITRES PROFESSIONNELS EXISTANTS</w:t>
      </w:r>
    </w:p>
    <w:p w14:paraId="2CE4E7DF"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Lorsqu'un gouvernement a instauré un examen d'aptitude pour l'exercice de l'audit interne dans le secteur public, ou envisage de le faire, il devrait également envisager d'accorder des exemptions aux personnes qui ont déjà démontré leurs compétences. Par exemple, les personnes </w:t>
      </w:r>
      <w:r w:rsidRPr="00781770">
        <w:rPr>
          <w:rFonts w:ascii="Arial" w:eastAsia="Times New Roman" w:hAnsi="Arial" w:cs="Arial"/>
          <w:kern w:val="0"/>
          <w:sz w:val="20"/>
          <w:szCs w:val="20"/>
          <w14:ligatures w14:val="none"/>
        </w:rPr>
        <w:t>titulaires du CIA ou de l'IAP ont déjà démontré qu'elles possèdent des connaissances professionnelles approfondies et les compétences pertinentes. Exiger de ces personnes qu'elles se soumettent à des examens</w:t>
      </w:r>
      <w:r w:rsidRPr="00362751">
        <w:rPr>
          <w:rFonts w:ascii="Arial" w:eastAsia="Times New Roman" w:hAnsi="Arial" w:cs="Arial"/>
          <w:kern w:val="0"/>
          <w:sz w:val="20"/>
          <w:szCs w:val="20"/>
          <w14:ligatures w14:val="none"/>
        </w:rPr>
        <w:t xml:space="preserve"> gouvernementaux redondants apporterait peu de valeur ajoutée tout en créant des coûts et un fardeau administratif inutiles. L'IIA encourage les décideurs publics à reconnaître, dans toute la mesure du possible, les titres professionnels existants. </w:t>
      </w:r>
    </w:p>
    <w:p w14:paraId="5B0E523C" w14:textId="77777777" w:rsidR="00362751" w:rsidRDefault="00362751">
      <w:pP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br w:type="page"/>
      </w:r>
    </w:p>
    <w:p w14:paraId="472E2BBB" w14:textId="1A44C38A" w:rsidR="00362751" w:rsidRPr="00362751" w:rsidRDefault="00362751" w:rsidP="00362751">
      <w:pPr>
        <w:spacing w:before="100" w:beforeAutospacing="1" w:after="100" w:afterAutospacing="1" w:line="240" w:lineRule="auto"/>
        <w:outlineLvl w:val="1"/>
        <w:rPr>
          <w:rFonts w:ascii="Arial" w:eastAsia="Times New Roman" w:hAnsi="Arial" w:cs="Arial"/>
          <w:b/>
          <w:bCs/>
          <w:kern w:val="0"/>
          <w:sz w:val="48"/>
          <w:szCs w:val="48"/>
          <w14:ligatures w14:val="none"/>
        </w:rPr>
      </w:pPr>
      <w:r w:rsidRPr="00362751">
        <w:rPr>
          <w:rFonts w:ascii="Arial" w:eastAsia="Times New Roman" w:hAnsi="Arial" w:cs="Arial"/>
          <w:b/>
          <w:bCs/>
          <w:color w:val="00B0F0"/>
          <w:kern w:val="0"/>
          <w:sz w:val="48"/>
          <w:szCs w:val="48"/>
          <w14:ligatures w14:val="none"/>
        </w:rPr>
        <w:lastRenderedPageBreak/>
        <w:t xml:space="preserve">MISE EN ŒUVRE </w:t>
      </w:r>
      <w:r w:rsidRPr="00362751">
        <w:rPr>
          <w:rFonts w:ascii="Arial" w:eastAsia="Times New Roman" w:hAnsi="Arial" w:cs="Arial"/>
          <w:b/>
          <w:bCs/>
          <w:kern w:val="0"/>
          <w:sz w:val="48"/>
          <w:szCs w:val="48"/>
          <w14:ligatures w14:val="none"/>
        </w:rPr>
        <w:t>ET ADOPTION</w:t>
      </w:r>
    </w:p>
    <w:p w14:paraId="51507BD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recommandations formulées dans le présent document visent à aider les gouvernements à renforcer la gouvernance, la reddition de comptes, la gestion des risques et la confiance du public grâce à un audit interne efficace. L'IIA reconnaît toutefois que les approches de mise en œuvre varieront considérablement d'un ressort à l'autre. Les gouvernements diffèrent quant à leurs structures constitutionnelles, leurs systèmes administratifs, les ressources dont ils disposent, le degré de maturité de leur gouvernance, les capacités de leur main-d'œuvre et leurs priorités politiques. Par conséquent, il n'existe pas de modèle unique de mise en œuvre qui convienne à tous les gouvernements.</w:t>
      </w:r>
    </w:p>
    <w:p w14:paraId="17AC3FA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encourage les décideurs publics à considérer les recommandations contenues dans le présent document comme un cadre d'amélioration continue plutôt que comme un ensemble rigide d'exigences. Des progrès significatifs peuvent souvent être réalisés grâce à des réformes progressives qui s'appuient sur les forces existantes tout en comblant les lacunes relevées. Les réformes les plus fructueuses sont généralement celles qui sont maintenues dans le temps et qui bénéficient de l'appui d'un vaste éventail de parties prenantes.</w:t>
      </w:r>
    </w:p>
    <w:p w14:paraId="46129AE5" w14:textId="77777777" w:rsidR="00362751" w:rsidRPr="00781770"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781770">
        <w:rPr>
          <w:rFonts w:ascii="Arial" w:eastAsia="Times New Roman" w:hAnsi="Arial" w:cs="Arial"/>
          <w:b/>
          <w:bCs/>
          <w:color w:val="00B0F0"/>
          <w:kern w:val="0"/>
          <w:sz w:val="20"/>
          <w:szCs w:val="20"/>
          <w14:ligatures w14:val="none"/>
        </w:rPr>
        <w:t>ÉTAPE 1. ANALYSER L'ENVIRONNEMENT JURIDIQUE ET RÉGLEMENTAIRE ET ÉVALUER LA FAISABILITÉ POLITIQUE DE L'ADOPTION DE NOUVELLES LOIS OU DE LA MODIFICATION DES LOIS EXISTANTES</w:t>
      </w:r>
    </w:p>
    <w:p w14:paraId="52CD29FE"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décideurs publics et les instituts nationaux sont encouragés à collaborer afin d'évaluer l'état actuel des politiques publiques relatives à l'audit interne dans le secteur public. Cette évaluation peut prendre la forme d'un examen complet de l'ensemble des recommandations formulées dans le présent document ou, pour amorcer le processus, de l'identification de quelques domaines connus nécessitant des améliorations.</w:t>
      </w:r>
    </w:p>
    <w:p w14:paraId="23D0D735"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Une fois les objectifs de politique publique définis, il serait également utile d'analyser le contexte politique afin d'évaluer la faisabilité de leur réalisation. Certaines initiatives relativement simples pourront être mises en œuvre en quelques mois ou en un an, tandis que des initiatives plus ambitieuses et plus complexes devraient être envisagées dans le cadre d'une stratégie pluriannuelle. </w:t>
      </w:r>
    </w:p>
    <w:p w14:paraId="6B2D647E" w14:textId="77777777" w:rsidR="00362751" w:rsidRPr="00781770"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781770">
        <w:rPr>
          <w:rFonts w:ascii="Arial" w:eastAsia="Times New Roman" w:hAnsi="Arial" w:cs="Arial"/>
          <w:b/>
          <w:bCs/>
          <w:color w:val="00B0F0"/>
          <w:kern w:val="0"/>
          <w:sz w:val="20"/>
          <w:szCs w:val="20"/>
          <w14:ligatures w14:val="none"/>
        </w:rPr>
        <w:t>ÉTAPE 2. PRÉPARER UNE STRATÉGIE D'ADVOCACY ET DÉTERMINER LES RESSOURCES NÉCESSAIRES</w:t>
      </w:r>
    </w:p>
    <w:p w14:paraId="47753467"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recommande aux instituts nationaux de rédiger une stratégie décrivant la façon dont ils prévoient de collaborer avec les parties prenantes afin d'atteindre leurs objectifs particuliers en matière de politiques publiques relatives à l'audit interne dans le secteur public. Cette stratégie devrait être examinée et approuvée par la direction générale et l'organe de gouvernance de l'institut national afin d'assurer une vision commune du projet, de favoriser des progrès significatifs et de relever les défis liés à sa mise en œuvre. L'analyse devrait également comprendre une évaluation des partenaires potentiels et des alliés au sein du gouvernement, ainsi que des oppositions éventuelles et des moyens de les atténuer.</w:t>
      </w:r>
    </w:p>
    <w:p w14:paraId="76682C34"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Comme toute initiative </w:t>
      </w:r>
      <w:r w:rsidRPr="00781770">
        <w:rPr>
          <w:rFonts w:ascii="Arial" w:eastAsia="Times New Roman" w:hAnsi="Arial" w:cs="Arial"/>
          <w:kern w:val="0"/>
          <w:sz w:val="20"/>
          <w:szCs w:val="20"/>
          <w14:ligatures w14:val="none"/>
        </w:rPr>
        <w:t>organisationnelle, les programmes d'advocacy nécessitent un budget ainsi que des ressources humaines (membres du personnel et/ou bénévoles) pour assurer leur réussite. Les instituts nationaux devraient estimer tous les coûts prévisibles et les intégrer au budget de leur programme d'advocacy. Ils devraient également attribuer des responsabilités précises à des personnes ou à des comités organisationnels afin</w:t>
      </w:r>
      <w:r w:rsidRPr="00362751">
        <w:rPr>
          <w:rFonts w:ascii="Arial" w:eastAsia="Times New Roman" w:hAnsi="Arial" w:cs="Arial"/>
          <w:kern w:val="0"/>
          <w:sz w:val="20"/>
          <w:szCs w:val="20"/>
          <w14:ligatures w14:val="none"/>
        </w:rPr>
        <w:t xml:space="preserve"> d'accroître les chances de succès de leur campagne.</w:t>
      </w:r>
    </w:p>
    <w:p w14:paraId="0EE2B1D4" w14:textId="77777777" w:rsidR="00781770" w:rsidRDefault="00781770"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p>
    <w:p w14:paraId="1574D076" w14:textId="03A93F01" w:rsidR="00362751" w:rsidRPr="00781770"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781770">
        <w:rPr>
          <w:rFonts w:ascii="Arial" w:eastAsia="Times New Roman" w:hAnsi="Arial" w:cs="Arial"/>
          <w:b/>
          <w:bCs/>
          <w:color w:val="00B0F0"/>
          <w:kern w:val="0"/>
          <w:sz w:val="20"/>
          <w:szCs w:val="20"/>
          <w14:ligatures w14:val="none"/>
        </w:rPr>
        <w:lastRenderedPageBreak/>
        <w:t>ÉTAPE 3. IDENTIFIER DES CHAMPIONS AU SEIN DES ASSEMBLÉES LÉGISLATIVES ET DU GOUVERNEMENT</w:t>
      </w:r>
    </w:p>
    <w:p w14:paraId="3D6E053A"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Pour faire progresser avec succès leurs objectifs de politique publique, les instituts nationaux devront déterminer quels décideurs publics défendront </w:t>
      </w:r>
      <w:r w:rsidRPr="00781770">
        <w:rPr>
          <w:rFonts w:ascii="Arial" w:eastAsia="Times New Roman" w:hAnsi="Arial" w:cs="Arial"/>
          <w:kern w:val="0"/>
          <w:sz w:val="20"/>
          <w:szCs w:val="20"/>
          <w14:ligatures w14:val="none"/>
        </w:rPr>
        <w:t>leurs propositions et contribueront à leur adoption. Des relations solides sont essentielles à la réussite des activités d'advocacy. Dans le cadre de leur stratégie d'advocacy, les instituts nationaux sont donc encouragés à identifier leurs champions et leurs alliés au sein des pouvoirs publics, puis à investir dans le développement</w:t>
      </w:r>
      <w:r w:rsidRPr="00362751">
        <w:rPr>
          <w:rFonts w:ascii="Arial" w:eastAsia="Times New Roman" w:hAnsi="Arial" w:cs="Arial"/>
          <w:kern w:val="0"/>
          <w:sz w:val="20"/>
          <w:szCs w:val="20"/>
          <w14:ligatures w14:val="none"/>
        </w:rPr>
        <w:t xml:space="preserve"> et le maintien de ces relations.</w:t>
      </w:r>
    </w:p>
    <w:p w14:paraId="40CB4B0D" w14:textId="77777777" w:rsidR="00362751" w:rsidRPr="00781770" w:rsidRDefault="00362751" w:rsidP="00362751">
      <w:pPr>
        <w:spacing w:before="100" w:beforeAutospacing="1" w:after="100" w:afterAutospacing="1" w:line="240" w:lineRule="auto"/>
        <w:outlineLvl w:val="2"/>
        <w:rPr>
          <w:rFonts w:ascii="Arial" w:eastAsia="Times New Roman" w:hAnsi="Arial" w:cs="Arial"/>
          <w:b/>
          <w:bCs/>
          <w:color w:val="00B0F0"/>
          <w:kern w:val="0"/>
          <w:sz w:val="20"/>
          <w:szCs w:val="20"/>
          <w14:ligatures w14:val="none"/>
        </w:rPr>
      </w:pPr>
      <w:r w:rsidRPr="00781770">
        <w:rPr>
          <w:rFonts w:ascii="Arial" w:eastAsia="Times New Roman" w:hAnsi="Arial" w:cs="Arial"/>
          <w:b/>
          <w:bCs/>
          <w:color w:val="00B0F0"/>
          <w:kern w:val="0"/>
          <w:sz w:val="20"/>
          <w:szCs w:val="20"/>
          <w14:ligatures w14:val="none"/>
        </w:rPr>
        <w:t>ÉTAPE 4. ADOPTER UNE PERSPECTIVE À LONG TERME EN MATIÈRE D'ADVOCACY</w:t>
      </w:r>
    </w:p>
    <w:p w14:paraId="520B086A" w14:textId="77777777" w:rsidR="00362751" w:rsidRPr="00781770"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Il est important de garder à </w:t>
      </w:r>
      <w:r w:rsidRPr="00781770">
        <w:rPr>
          <w:rFonts w:ascii="Arial" w:eastAsia="Times New Roman" w:hAnsi="Arial" w:cs="Arial"/>
          <w:kern w:val="0"/>
          <w:sz w:val="20"/>
          <w:szCs w:val="20"/>
          <w14:ligatures w14:val="none"/>
        </w:rPr>
        <w:t>l'esprit que l'advocacy est un processus de longue haleine et que l'atteinte des objectifs de politique publique peut parfois prendre plusieurs années. Les progrès sont généralement graduels plutôt que spectaculaires. Il est extrêmement rare qu'une organisation obtienne 100 % des changements qu'elle souhaite.</w:t>
      </w:r>
    </w:p>
    <w:p w14:paraId="52467ECB" w14:textId="77777777" w:rsidR="00362751" w:rsidRPr="00781770"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781770">
        <w:rPr>
          <w:rFonts w:ascii="Arial" w:eastAsia="Times New Roman" w:hAnsi="Arial" w:cs="Arial"/>
          <w:kern w:val="0"/>
          <w:sz w:val="20"/>
          <w:szCs w:val="20"/>
          <w14:ligatures w14:val="none"/>
        </w:rPr>
        <w:t>De plus, les lois et les règlements doivent souvent être mis à jour périodiquement afin de tenir compte de l'évolution des technologies, de l'économie, de la culture et du contexte organisationnel. Les instituts nationaux sont donc encouragés à considérer leurs stratégies d'advocacy comme une composante intégrée, permanente et évolutive de leur stratégie organisationnelle.</w:t>
      </w:r>
    </w:p>
    <w:p w14:paraId="3FD2A5D7" w14:textId="77777777" w:rsidR="00362751" w:rsidRPr="00781770" w:rsidRDefault="00362751" w:rsidP="00362751">
      <w:pPr>
        <w:pStyle w:val="NormalWeb"/>
        <w:rPr>
          <w:rFonts w:ascii="Arial" w:hAnsi="Arial" w:cs="Arial"/>
          <w:sz w:val="20"/>
          <w:szCs w:val="20"/>
        </w:rPr>
      </w:pPr>
      <w:r w:rsidRPr="00781770">
        <w:rPr>
          <w:rFonts w:ascii="Arial" w:hAnsi="Arial" w:cs="Arial"/>
          <w:sz w:val="20"/>
          <w:szCs w:val="20"/>
        </w:rPr>
        <w:t xml:space="preserve">Indépendamment de la portée et de l'ambition du </w:t>
      </w:r>
      <w:r w:rsidRPr="00781770">
        <w:rPr>
          <w:rStyle w:val="Strong"/>
          <w:rFonts w:ascii="Arial" w:hAnsi="Arial" w:cs="Arial"/>
          <w:b w:val="0"/>
          <w:bCs w:val="0"/>
          <w:sz w:val="20"/>
          <w:szCs w:val="20"/>
        </w:rPr>
        <w:t>programme</w:t>
      </w:r>
      <w:r w:rsidRPr="00781770">
        <w:rPr>
          <w:rStyle w:val="Strong"/>
          <w:rFonts w:ascii="Arial" w:hAnsi="Arial" w:cs="Arial"/>
          <w:sz w:val="20"/>
          <w:szCs w:val="20"/>
        </w:rPr>
        <w:t xml:space="preserve"> </w:t>
      </w:r>
      <w:r w:rsidRPr="00781770">
        <w:rPr>
          <w:rStyle w:val="Strong"/>
          <w:rFonts w:ascii="Arial" w:hAnsi="Arial" w:cs="Arial"/>
          <w:b w:val="0"/>
          <w:bCs w:val="0"/>
          <w:sz w:val="20"/>
          <w:szCs w:val="20"/>
        </w:rPr>
        <w:t>d'advocacy</w:t>
      </w:r>
      <w:r w:rsidRPr="00781770">
        <w:rPr>
          <w:rFonts w:ascii="Arial" w:hAnsi="Arial" w:cs="Arial"/>
          <w:sz w:val="20"/>
          <w:szCs w:val="20"/>
        </w:rPr>
        <w:t xml:space="preserve"> d'un institut national ou des ressources dont il dispose, L'IIA s'engage à agir comme partenaire collaboratif et ressource stratégique afin de faire progresser, partout dans le monde, sa vision </w:t>
      </w:r>
      <w:r w:rsidRPr="00781770">
        <w:rPr>
          <w:rStyle w:val="Strong"/>
          <w:rFonts w:ascii="Arial" w:hAnsi="Arial" w:cs="Arial"/>
          <w:b w:val="0"/>
          <w:bCs w:val="0"/>
          <w:sz w:val="20"/>
          <w:szCs w:val="20"/>
        </w:rPr>
        <w:t>One IIA</w:t>
      </w:r>
      <w:r w:rsidRPr="00781770">
        <w:rPr>
          <w:rFonts w:ascii="Arial" w:hAnsi="Arial" w:cs="Arial"/>
          <w:sz w:val="20"/>
          <w:szCs w:val="20"/>
        </w:rPr>
        <w:t>.</w:t>
      </w:r>
    </w:p>
    <w:p w14:paraId="6428A828" w14:textId="1F935BB4" w:rsidR="00362751" w:rsidRDefault="00362751" w:rsidP="00362751">
      <w:pPr>
        <w:pStyle w:val="NormalWeb"/>
        <w:rPr>
          <w:rFonts w:ascii="Arial" w:hAnsi="Arial" w:cs="Arial"/>
          <w:sz w:val="20"/>
          <w:szCs w:val="20"/>
        </w:rPr>
      </w:pPr>
      <w:r w:rsidRPr="00781770">
        <w:rPr>
          <w:rFonts w:ascii="Arial" w:hAnsi="Arial" w:cs="Arial"/>
          <w:sz w:val="20"/>
          <w:szCs w:val="20"/>
        </w:rPr>
        <w:t xml:space="preserve">Les instituts nationaux sont invités à communiquer avec l'équipe </w:t>
      </w:r>
      <w:r w:rsidRPr="00781770">
        <w:rPr>
          <w:rStyle w:val="Strong"/>
          <w:rFonts w:ascii="Arial" w:hAnsi="Arial" w:cs="Arial"/>
          <w:b w:val="0"/>
          <w:bCs w:val="0"/>
          <w:sz w:val="20"/>
          <w:szCs w:val="20"/>
        </w:rPr>
        <w:t>Global Advocacy</w:t>
      </w:r>
      <w:r w:rsidRPr="00781770">
        <w:rPr>
          <w:rFonts w:ascii="Arial" w:hAnsi="Arial" w:cs="Arial"/>
          <w:sz w:val="20"/>
          <w:szCs w:val="20"/>
        </w:rPr>
        <w:t xml:space="preserve"> de L'IIA (advocacy@theiia.org) afin de discuter de l'élaboration de leur stratégie, d'accéder à du matériel de formation, à des travaux de recherche en matière de politiques publiques et à des modèles de libellés, ainsi que de bénéficier d'autres formes de soutien</w:t>
      </w:r>
      <w:r w:rsidRPr="00362751">
        <w:rPr>
          <w:rFonts w:ascii="Arial" w:hAnsi="Arial" w:cs="Arial"/>
          <w:sz w:val="20"/>
          <w:szCs w:val="20"/>
        </w:rPr>
        <w:t xml:space="preserve"> pour leurs activités d'advocacy en matière de politiques publiques dans le secteur public.</w:t>
      </w:r>
      <w:r w:rsidR="00781770">
        <w:rPr>
          <w:rFonts w:ascii="Arial" w:hAnsi="Arial" w:cs="Arial"/>
          <w:sz w:val="20"/>
          <w:szCs w:val="20"/>
        </w:rPr>
        <w:t xml:space="preserve"> </w:t>
      </w:r>
      <w:r w:rsidRPr="00362751">
        <w:rPr>
          <w:rFonts w:ascii="Arial" w:hAnsi="Arial" w:cs="Arial"/>
          <w:sz w:val="20"/>
          <w:szCs w:val="20"/>
        </w:rPr>
        <w:t>Ensemble, L'IIA et les instituts nationaux peuvent mettre en place un cadre juridique et réglementaire qui assurera une profession d'auditeur interne dynamique et prospère au sein des gouvernements et des organisations du secteur public partout dans le monde.</w:t>
      </w:r>
    </w:p>
    <w:p w14:paraId="5CC888A7" w14:textId="77777777" w:rsidR="00781770" w:rsidRPr="00362751" w:rsidRDefault="00781770" w:rsidP="00362751">
      <w:pPr>
        <w:pStyle w:val="NormalWeb"/>
        <w:rPr>
          <w:rFonts w:ascii="Arial" w:hAnsi="Arial" w:cs="Arial"/>
          <w:sz w:val="20"/>
          <w:szCs w:val="20"/>
        </w:rPr>
      </w:pPr>
    </w:p>
    <w:p w14:paraId="0F6EFD4E" w14:textId="77777777" w:rsidR="00362751" w:rsidRPr="00781770" w:rsidRDefault="00362751" w:rsidP="00362751">
      <w:pPr>
        <w:spacing w:before="100" w:beforeAutospacing="1" w:after="100" w:afterAutospacing="1" w:line="240" w:lineRule="auto"/>
        <w:outlineLvl w:val="1"/>
        <w:rPr>
          <w:rFonts w:ascii="Arial" w:eastAsia="Times New Roman" w:hAnsi="Arial" w:cs="Arial"/>
          <w:b/>
          <w:bCs/>
          <w:color w:val="00B0F0"/>
          <w:kern w:val="0"/>
          <w:sz w:val="48"/>
          <w:szCs w:val="48"/>
          <w14:ligatures w14:val="none"/>
        </w:rPr>
      </w:pPr>
      <w:r w:rsidRPr="00781770">
        <w:rPr>
          <w:rFonts w:ascii="Arial" w:eastAsia="Times New Roman" w:hAnsi="Arial" w:cs="Arial"/>
          <w:b/>
          <w:bCs/>
          <w:color w:val="00B0F0"/>
          <w:kern w:val="0"/>
          <w:sz w:val="48"/>
          <w:szCs w:val="48"/>
          <w14:ligatures w14:val="none"/>
        </w:rPr>
        <w:t>CONCLUSION</w:t>
      </w:r>
    </w:p>
    <w:p w14:paraId="2FF85BA6"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Il n'existe pas de modèle unique d'audit interne efficace dans le secteur public. Toutefois, les gouvernements qui établissent des fondements juridiques solides, favorisent l'adoption de normes professionnelles reconnues à l'échelle internationale, investissent dans le développement des compétences, soutiennent l'indépendance, renforcent la gouvernance et s'engagent dans une démarche d'amélioration continue seront mieux placés pour gérer les risques, améliorer la performance, renforcer la reddition de comptes et maintenir la confiance du public.</w:t>
      </w:r>
    </w:p>
    <w:p w14:paraId="7A245289" w14:textId="3747CA8D"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Les recommandations formulées dans le présent document visent à fournir une feuille de route pratique pour atteindre ces objectifs.</w:t>
      </w:r>
      <w:r w:rsidR="00781770">
        <w:rPr>
          <w:rFonts w:ascii="Arial" w:eastAsia="Times New Roman" w:hAnsi="Arial" w:cs="Arial"/>
          <w:kern w:val="0"/>
          <w:sz w:val="20"/>
          <w:szCs w:val="20"/>
          <w14:ligatures w14:val="none"/>
        </w:rPr>
        <w:t xml:space="preserve"> </w:t>
      </w:r>
      <w:r w:rsidRPr="00362751">
        <w:rPr>
          <w:rFonts w:ascii="Arial" w:eastAsia="Times New Roman" w:hAnsi="Arial" w:cs="Arial"/>
          <w:kern w:val="0"/>
          <w:sz w:val="20"/>
          <w:szCs w:val="20"/>
          <w14:ligatures w14:val="none"/>
        </w:rPr>
        <w:t>L'IIA encourage les décideurs publics à adapter ces recommandations à leur propre contexte tout en demeurant attachés aux principes de reddition de comptes, de transparence, d'intégrité et de saine gestion qui sous-tendent une gouvernance efficace du secteur public.</w:t>
      </w:r>
    </w:p>
    <w:p w14:paraId="303FBEC2" w14:textId="7331BC63" w:rsidR="00781770" w:rsidRPr="00781770" w:rsidRDefault="00362751" w:rsidP="00781770">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Un audit interne solide n'est pas une fin en soi. Il constitue plutôt un moyen d'aider les gouvernements à mieux servir leurs citoyens et à promouvoir l'intérêt général.</w:t>
      </w:r>
      <w:r w:rsidR="00781770">
        <w:rPr>
          <w:rFonts w:ascii="Arial" w:eastAsia="Times New Roman" w:hAnsi="Arial" w:cs="Arial"/>
          <w:b/>
          <w:bCs/>
          <w:color w:val="00B0F0"/>
          <w:kern w:val="36"/>
          <w:sz w:val="48"/>
          <w:szCs w:val="48"/>
          <w14:ligatures w14:val="none"/>
        </w:rPr>
        <w:br w:type="page"/>
      </w:r>
    </w:p>
    <w:p w14:paraId="55078F5B" w14:textId="29CCC8CA" w:rsidR="00781770" w:rsidRPr="00781770" w:rsidRDefault="00362751" w:rsidP="00781770">
      <w:pPr>
        <w:spacing w:before="100" w:beforeAutospacing="1" w:after="100" w:afterAutospacing="1" w:line="240" w:lineRule="auto"/>
        <w:outlineLvl w:val="0"/>
        <w:rPr>
          <w:rFonts w:ascii="Arial" w:eastAsia="Times New Roman" w:hAnsi="Arial" w:cs="Arial"/>
          <w:b/>
          <w:bCs/>
          <w:color w:val="00B0F0"/>
          <w:kern w:val="36"/>
          <w:sz w:val="48"/>
          <w:szCs w:val="48"/>
          <w14:ligatures w14:val="none"/>
        </w:rPr>
      </w:pPr>
      <w:r w:rsidRPr="00781770">
        <w:rPr>
          <w:rFonts w:ascii="Arial" w:eastAsia="Times New Roman" w:hAnsi="Arial" w:cs="Arial"/>
          <w:b/>
          <w:bCs/>
          <w:color w:val="00B0F0"/>
          <w:kern w:val="36"/>
          <w:sz w:val="48"/>
          <w:szCs w:val="48"/>
          <w14:ligatures w14:val="none"/>
        </w:rPr>
        <w:lastRenderedPageBreak/>
        <w:t>ANNEXE</w:t>
      </w:r>
    </w:p>
    <w:p w14:paraId="75D72E77" w14:textId="1BC44E96" w:rsidR="00362751" w:rsidRPr="00781770" w:rsidRDefault="00362751" w:rsidP="00362751">
      <w:pPr>
        <w:spacing w:before="100" w:beforeAutospacing="1" w:after="100" w:afterAutospacing="1" w:line="240" w:lineRule="auto"/>
        <w:outlineLvl w:val="1"/>
        <w:rPr>
          <w:rFonts w:ascii="Arial" w:eastAsia="Times New Roman" w:hAnsi="Arial" w:cs="Arial"/>
          <w:b/>
          <w:bCs/>
          <w:kern w:val="0"/>
          <w:sz w:val="28"/>
          <w:szCs w:val="28"/>
          <w14:ligatures w14:val="none"/>
        </w:rPr>
      </w:pPr>
      <w:r w:rsidRPr="00781770">
        <w:rPr>
          <w:rFonts w:ascii="Arial" w:eastAsia="Times New Roman" w:hAnsi="Arial" w:cs="Arial"/>
          <w:b/>
          <w:bCs/>
          <w:kern w:val="0"/>
          <w:sz w:val="28"/>
          <w:szCs w:val="28"/>
          <w14:ligatures w14:val="none"/>
        </w:rPr>
        <w:t>Consultation des parties prenantes et révisions futures</w:t>
      </w:r>
    </w:p>
    <w:p w14:paraId="5B1E89C8"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L'IIA a cherché à obtenir le plus vaste soutien possible et à recueillir les commentaires du plus grand nombre possible de parties prenantes dans le cadre de l'élaboration du présent document. En tant qu'organisation comptant plus de 265 000 membres dans le monde, L'IIA reconnaît qu'elle doit solliciter des points de vue divers et parfois même divergents sur le cadre juridique, réglementaire et stratégique approprié pour la profession d'auditeur interne. Bien que L'IIA ne puisse répondre entièrement aux attentes de toutes les parties prenantes ni donner suite à chacun de leurs commentaires, l'organisation s'est efforcée d'harmoniser les différentes positions exprimées à l'échelle mondiale afin de produire un document de prise de position reflétant, dans toute la mesure du possible, la vision la plus large et la plus représentative de la profession d'auditeur interne en ce qui concerne le cadre juridique et réglementaire applicable au secteur public.</w:t>
      </w:r>
    </w:p>
    <w:p w14:paraId="3D98B5EB" w14:textId="77777777"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Dans cet esprit, un projet du présent document a été soumis à une période de consultation des parties prenantes d'une durée de douze </w:t>
      </w:r>
      <w:r w:rsidRPr="00781770">
        <w:rPr>
          <w:rFonts w:ascii="Arial" w:eastAsia="Times New Roman" w:hAnsi="Arial" w:cs="Arial"/>
          <w:kern w:val="0"/>
          <w:sz w:val="20"/>
          <w:szCs w:val="20"/>
          <w14:ligatures w14:val="none"/>
        </w:rPr>
        <w:t>semaines, au cours des mois de juillet, d'août et de septembre 2026. Plus particulièrement, les 121 instituts nationaux et chapitres internationaux de L'IIA, ainsi que les 144 chapitres de l'organisation au Canada, aux États-Unis et dans les Caraïbes, ont été invités à proposer des modifications, à formuler des suggestions</w:t>
      </w:r>
      <w:r w:rsidRPr="00362751">
        <w:rPr>
          <w:rFonts w:ascii="Arial" w:eastAsia="Times New Roman" w:hAnsi="Arial" w:cs="Arial"/>
          <w:kern w:val="0"/>
          <w:sz w:val="20"/>
          <w:szCs w:val="20"/>
          <w14:ligatures w14:val="none"/>
        </w:rPr>
        <w:t>, à présenter des critiques et à poser des questions. En outre, L'IIA a tenu des séances de travail interactives avec les dirigeants des instituts nationaux lors de la réunion de l'Assemblée mondiale de L'IIA tenue en juin 2026 à Singapour. Les instituts nationaux ont également été invités à participer à des tables rondes virtuelles interactives, organisées par région et par langue (anglais, français et espagnol), tout au long du troisième trimestre de 2026.</w:t>
      </w:r>
    </w:p>
    <w:p w14:paraId="58EE5C9B"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L'IIA a également déployé des efforts concertés afin de consulter des organisations non gouvernementales (ONG) internationales ainsi que des leaders d'opinion gouvernementaux dans le cadre de ce processus de consultation des parties prenantes.</w:t>
      </w:r>
    </w:p>
    <w:p w14:paraId="4B637F19" w14:textId="6F45F814" w:rsidR="00362751" w:rsidRPr="00362751" w:rsidRDefault="00362751" w:rsidP="00362751">
      <w:pPr>
        <w:pStyle w:val="NormalWeb"/>
        <w:rPr>
          <w:rFonts w:ascii="Arial" w:hAnsi="Arial" w:cs="Arial"/>
          <w:sz w:val="20"/>
          <w:szCs w:val="20"/>
        </w:rPr>
      </w:pPr>
      <w:r w:rsidRPr="00362751">
        <w:rPr>
          <w:rFonts w:ascii="Arial" w:hAnsi="Arial" w:cs="Arial"/>
          <w:sz w:val="20"/>
          <w:szCs w:val="20"/>
        </w:rPr>
        <w:t>L'ensemble des commentaires reçus de ces parties prenantes a été soigneusement examiné et analysé au cours des mois suivants, ce qui a conduit à u</w:t>
      </w:r>
      <w:r w:rsidRPr="00362751">
        <w:rPr>
          <w:rFonts w:ascii="Arial" w:hAnsi="Arial" w:cs="Arial"/>
          <w:sz w:val="20"/>
          <w:szCs w:val="20"/>
        </w:rPr>
        <w:t>n</w:t>
      </w:r>
      <w:r w:rsidRPr="00362751">
        <w:rPr>
          <w:rFonts w:ascii="Arial" w:hAnsi="Arial" w:cs="Arial"/>
          <w:sz w:val="20"/>
          <w:szCs w:val="20"/>
        </w:rPr>
        <w:t>e version finale du document présentée au Conseil d'administration mondial de L'IIA en octobre 2026 aux fins d'approbation définitive.</w:t>
      </w:r>
    </w:p>
    <w:p w14:paraId="430FC54A"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L'organisation entend toutefois faire de ce document une publication évolutive (</w:t>
      </w:r>
      <w:r w:rsidRPr="00362751">
        <w:rPr>
          <w:rStyle w:val="Emphasis"/>
          <w:rFonts w:ascii="Arial" w:hAnsi="Arial" w:cs="Arial"/>
          <w:sz w:val="20"/>
          <w:szCs w:val="20"/>
        </w:rPr>
        <w:t>evergreen</w:t>
      </w:r>
      <w:r w:rsidRPr="00362751">
        <w:rPr>
          <w:rFonts w:ascii="Arial" w:hAnsi="Arial" w:cs="Arial"/>
          <w:sz w:val="20"/>
          <w:szCs w:val="20"/>
        </w:rPr>
        <w:t>). À mesure que le monde, les technologies, les politiques publiques et l'audit interne dans le secteur public continueront d'évoluer, le présent document évoluera lui aussi. L'IIA prévoit le réexaminer afin d'y proposer des mises à jour, en s'appuyant sur les commentaires et la rétroaction des parties prenantes, au moins une fois tous les cinq ans.</w:t>
      </w:r>
    </w:p>
    <w:p w14:paraId="4F106E3D" w14:textId="77777777" w:rsidR="00362751" w:rsidRPr="00362751" w:rsidRDefault="00362751" w:rsidP="00362751">
      <w:pPr>
        <w:pStyle w:val="NormalWeb"/>
        <w:rPr>
          <w:rFonts w:ascii="Arial" w:hAnsi="Arial" w:cs="Arial"/>
          <w:sz w:val="20"/>
          <w:szCs w:val="20"/>
        </w:rPr>
      </w:pPr>
      <w:r w:rsidRPr="00362751">
        <w:rPr>
          <w:rFonts w:ascii="Arial" w:hAnsi="Arial" w:cs="Arial"/>
          <w:sz w:val="20"/>
          <w:szCs w:val="20"/>
        </w:rPr>
        <w:t>C'est grâce à ce processus que L'IIA espère que ce document continuera d'offrir un cadre de référence toujours pertinent, complet et tourné vers l'avenir, bénéficiant d'un large appui des décideurs publics, de ses instituts nationaux et de ses membres.</w:t>
      </w:r>
    </w:p>
    <w:p w14:paraId="0C4EAA6B" w14:textId="30DABB0C" w:rsidR="00362751" w:rsidRPr="00362751" w:rsidRDefault="00362751" w:rsidP="00362751">
      <w:pPr>
        <w:spacing w:before="100" w:beforeAutospacing="1" w:after="100" w:afterAutospacing="1" w:line="240" w:lineRule="auto"/>
        <w:rPr>
          <w:rFonts w:ascii="Arial" w:eastAsia="Times New Roman" w:hAnsi="Arial" w:cs="Arial"/>
          <w:kern w:val="0"/>
          <w:sz w:val="20"/>
          <w:szCs w:val="20"/>
          <w14:ligatures w14:val="none"/>
        </w:rPr>
      </w:pPr>
      <w:r w:rsidRPr="00362751">
        <w:rPr>
          <w:rFonts w:ascii="Arial" w:eastAsia="Times New Roman" w:hAnsi="Arial" w:cs="Arial"/>
          <w:kern w:val="0"/>
          <w:sz w:val="20"/>
          <w:szCs w:val="20"/>
          <w14:ligatures w14:val="none"/>
        </w:rPr>
        <w:t xml:space="preserve"> </w:t>
      </w:r>
    </w:p>
    <w:p w14:paraId="426F5F22" w14:textId="77777777" w:rsidR="00362751" w:rsidRPr="00362751" w:rsidRDefault="00362751" w:rsidP="00362751">
      <w:pPr>
        <w:spacing w:before="100" w:beforeAutospacing="1" w:after="100" w:afterAutospacing="1" w:line="240" w:lineRule="auto"/>
        <w:outlineLvl w:val="2"/>
        <w:rPr>
          <w:rFonts w:ascii="Arial" w:hAnsi="Arial" w:cs="Arial"/>
          <w:sz w:val="20"/>
          <w:szCs w:val="20"/>
        </w:rPr>
      </w:pPr>
    </w:p>
    <w:sectPr w:rsidR="00362751" w:rsidRPr="0036275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84F26" w14:textId="77777777" w:rsidR="00BC0FF5" w:rsidRDefault="00BC0FF5" w:rsidP="00362751">
      <w:pPr>
        <w:spacing w:after="0" w:line="240" w:lineRule="auto"/>
      </w:pPr>
      <w:r>
        <w:separator/>
      </w:r>
    </w:p>
  </w:endnote>
  <w:endnote w:type="continuationSeparator" w:id="0">
    <w:p w14:paraId="4DA10F9A" w14:textId="77777777" w:rsidR="00BC0FF5" w:rsidRDefault="00BC0FF5" w:rsidP="00362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CAF3" w14:textId="77777777" w:rsidR="00362751" w:rsidRDefault="003627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52EE" w14:textId="77777777" w:rsidR="00362751" w:rsidRDefault="003627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4C5C" w14:textId="77777777" w:rsidR="00362751" w:rsidRDefault="00362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2681F" w14:textId="77777777" w:rsidR="00BC0FF5" w:rsidRDefault="00BC0FF5" w:rsidP="00362751">
      <w:pPr>
        <w:spacing w:after="0" w:line="240" w:lineRule="auto"/>
      </w:pPr>
      <w:r>
        <w:separator/>
      </w:r>
    </w:p>
  </w:footnote>
  <w:footnote w:type="continuationSeparator" w:id="0">
    <w:p w14:paraId="4F885624" w14:textId="77777777" w:rsidR="00BC0FF5" w:rsidRDefault="00BC0FF5" w:rsidP="00362751">
      <w:pPr>
        <w:spacing w:after="0" w:line="240" w:lineRule="auto"/>
      </w:pPr>
      <w:r>
        <w:continuationSeparator/>
      </w:r>
    </w:p>
  </w:footnote>
  <w:footnote w:id="1">
    <w:p w14:paraId="5E4AF9F2" w14:textId="27BCF274" w:rsidR="00362751" w:rsidRDefault="00362751">
      <w:pPr>
        <w:pStyle w:val="FootnoteText"/>
      </w:pPr>
      <w:r>
        <w:rPr>
          <w:rStyle w:val="FootnoteReference"/>
        </w:rPr>
        <w:footnoteRef/>
      </w:r>
      <w:r>
        <w:t xml:space="preserve"> </w:t>
      </w:r>
      <w:r w:rsidRPr="00362751">
        <w:rPr>
          <w:sz w:val="16"/>
          <w:szCs w:val="16"/>
        </w:rPr>
        <w:t>La terminologie peut varier d'un ressort à l'autre. Par exemple, dans certains pays, les fonctions d'audit interne sont appelées « unités d'audit interne ».</w:t>
      </w:r>
    </w:p>
  </w:footnote>
  <w:footnote w:id="2">
    <w:p w14:paraId="188AE372" w14:textId="662C1B6B" w:rsidR="00362751" w:rsidRDefault="00362751">
      <w:pPr>
        <w:pStyle w:val="FootnoteText"/>
      </w:pPr>
      <w:r>
        <w:rPr>
          <w:rStyle w:val="FootnoteReference"/>
        </w:rPr>
        <w:footnoteRef/>
      </w:r>
      <w:r>
        <w:t xml:space="preserve"> </w:t>
      </w:r>
      <w:r w:rsidRPr="00362751">
        <w:rPr>
          <w:sz w:val="16"/>
          <w:szCs w:val="16"/>
        </w:rPr>
        <w:t>Les lecteurs sont également invités à consulter les principes directeurs du GP4, auxquels il est fait référence précédemment dans le présent document et qui sont accessibles au moyen des liens figurant plus haut.</w:t>
      </w:r>
    </w:p>
  </w:footnote>
  <w:footnote w:id="3">
    <w:p w14:paraId="5C2CB0B6" w14:textId="68FBB162" w:rsidR="00362751" w:rsidRDefault="00362751">
      <w:pPr>
        <w:pStyle w:val="FootnoteText"/>
      </w:pPr>
      <w:r>
        <w:rPr>
          <w:rStyle w:val="FootnoteReference"/>
        </w:rPr>
        <w:footnoteRef/>
      </w:r>
      <w:r>
        <w:t xml:space="preserve"> </w:t>
      </w:r>
      <w:hyperlink r:id="rId1" w:history="1">
        <w:r w:rsidRPr="00362751">
          <w:rPr>
            <w:rStyle w:val="Hyperlink"/>
            <w:sz w:val="16"/>
            <w:szCs w:val="16"/>
          </w:rPr>
          <w:t>https://www.oecd.org/fr/publications/panorama-des-administrations-publiques-2025_758a7905-fr/full-report/levels-of-trust-in-public-institutions_62a3b94e.html</w:t>
        </w:r>
      </w:hyperlink>
      <w:r>
        <w:t xml:space="preserve"> </w:t>
      </w:r>
    </w:p>
  </w:footnote>
  <w:footnote w:id="4">
    <w:p w14:paraId="1B9F9386" w14:textId="2ADF3C7B" w:rsidR="00362751" w:rsidRDefault="00362751">
      <w:pPr>
        <w:pStyle w:val="FootnoteText"/>
      </w:pPr>
      <w:r>
        <w:rPr>
          <w:rStyle w:val="FootnoteReference"/>
        </w:rPr>
        <w:footnoteRef/>
      </w:r>
      <w:r>
        <w:t xml:space="preserve"> </w:t>
      </w:r>
      <w:r w:rsidRPr="00362751">
        <w:rPr>
          <w:sz w:val="16"/>
          <w:szCs w:val="16"/>
        </w:rPr>
        <w:t>Les organisations actuellement représentées au sein de l'IPPF Oversight Council comprennent le Global Network of Director Institutes (GNDI), l'International Federation of Accountants (IFAC), l'International Foundation for Ethics and Audit (IFEA), le Fonds monétaire international (FMI), l'Organisation internationale des institutions supérieures de contrôle des finances publiques (INTOSAI), l'Organisation de coopération et de développement économiques (OCDE) et la Banque mondiale.</w:t>
      </w:r>
    </w:p>
  </w:footnote>
  <w:footnote w:id="5">
    <w:p w14:paraId="32EA8EAF" w14:textId="747AA0E7" w:rsidR="00362751" w:rsidRDefault="00362751">
      <w:pPr>
        <w:pStyle w:val="FootnoteText"/>
      </w:pPr>
      <w:r>
        <w:rPr>
          <w:rStyle w:val="FootnoteReference"/>
        </w:rPr>
        <w:footnoteRef/>
      </w:r>
      <w:r>
        <w:t xml:space="preserve"> </w:t>
      </w:r>
      <w:r w:rsidRPr="00362751">
        <w:rPr>
          <w:sz w:val="16"/>
          <w:szCs w:val="16"/>
        </w:rPr>
        <w:t>Dans le cadre de leur réflexion sur la définition d'une « fonction d'audit interne », les instituts nationaux sont également encouragés à déterminer s'ils souhaitent adopter une position explicite quant à la possibilité de recourir à la coexternalisation ou à l'externalisation d'une fonction d'audit interne du secteur public. Bien que le recours à des ressources externes pour soutenir une fonction d'audit interne puisse sembler, à première vue, contre-intuitif, L'IIA ne s'oppose pas à de telles modalités souples, pourvu que tous les critères susmentionnés d'une fonction d'audit interne efficace soient respectés et qu'aucun conflit d'intérêts n'existe. (Par exemple, une fonction d'audit interne ne pourrait être externalisée ou coexternalisée auprès d'un cabinet comptable qui fournit déjà des services d'audit externe à l'entité.)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C2E6" w14:textId="2E852CCE" w:rsidR="00362751" w:rsidRDefault="00BC0FF5">
    <w:pPr>
      <w:pStyle w:val="Header"/>
    </w:pPr>
    <w:r>
      <w:rPr>
        <w:noProof/>
      </w:rPr>
      <w:pict w14:anchorId="3DC06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4188635" o:spid="_x0000_s1027" type="#_x0000_t136" alt="" style="position:absolute;margin-left:0;margin-top:0;width:571.45pt;height:87.9pt;rotation:315;z-index:-251618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Version provisoir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E3D23" w14:textId="51F4DFBF" w:rsidR="00362751" w:rsidRDefault="00BC0FF5">
    <w:pPr>
      <w:pStyle w:val="Header"/>
    </w:pPr>
    <w:r>
      <w:rPr>
        <w:noProof/>
      </w:rPr>
      <w:pict w14:anchorId="5981FB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4188636" o:spid="_x0000_s1026" type="#_x0000_t136" alt="" style="position:absolute;margin-left:0;margin-top:0;width:571.45pt;height:87.9pt;rotation:315;z-index:-2516162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Version provisoir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1C70" w14:textId="3B3A019B" w:rsidR="00362751" w:rsidRDefault="00BC0FF5">
    <w:pPr>
      <w:pStyle w:val="Header"/>
    </w:pPr>
    <w:r>
      <w:rPr>
        <w:noProof/>
      </w:rPr>
      <w:pict w14:anchorId="4A9F1A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4188634" o:spid="_x0000_s1025" type="#_x0000_t136" alt="" style="position:absolute;margin-left:0;margin-top:0;width:571.45pt;height:87.9pt;rotation:315;z-index:-251620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Version provisoi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958"/>
    <w:multiLevelType w:val="multilevel"/>
    <w:tmpl w:val="BCEE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30883"/>
    <w:multiLevelType w:val="multilevel"/>
    <w:tmpl w:val="980A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A2229"/>
    <w:multiLevelType w:val="multilevel"/>
    <w:tmpl w:val="7FAC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40EBE"/>
    <w:multiLevelType w:val="multilevel"/>
    <w:tmpl w:val="7520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FA2E05"/>
    <w:multiLevelType w:val="multilevel"/>
    <w:tmpl w:val="68F0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A24DC7"/>
    <w:multiLevelType w:val="multilevel"/>
    <w:tmpl w:val="1C44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65ED2"/>
    <w:multiLevelType w:val="hybridMultilevel"/>
    <w:tmpl w:val="74B6F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95249"/>
    <w:multiLevelType w:val="multilevel"/>
    <w:tmpl w:val="7640D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776A9"/>
    <w:multiLevelType w:val="multilevel"/>
    <w:tmpl w:val="03C4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7527AD"/>
    <w:multiLevelType w:val="multilevel"/>
    <w:tmpl w:val="986C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3E6A5E"/>
    <w:multiLevelType w:val="multilevel"/>
    <w:tmpl w:val="AB74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8C1A6D"/>
    <w:multiLevelType w:val="multilevel"/>
    <w:tmpl w:val="021C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CC19EA"/>
    <w:multiLevelType w:val="multilevel"/>
    <w:tmpl w:val="A28E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652FF8"/>
    <w:multiLevelType w:val="multilevel"/>
    <w:tmpl w:val="7640D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67788D"/>
    <w:multiLevelType w:val="multilevel"/>
    <w:tmpl w:val="0612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0B11C8"/>
    <w:multiLevelType w:val="multilevel"/>
    <w:tmpl w:val="B9D6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5D6EA6"/>
    <w:multiLevelType w:val="multilevel"/>
    <w:tmpl w:val="56C2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A01A0"/>
    <w:multiLevelType w:val="multilevel"/>
    <w:tmpl w:val="2BC4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7517F3"/>
    <w:multiLevelType w:val="multilevel"/>
    <w:tmpl w:val="EFA0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3F2651"/>
    <w:multiLevelType w:val="multilevel"/>
    <w:tmpl w:val="7640D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152955"/>
    <w:multiLevelType w:val="multilevel"/>
    <w:tmpl w:val="C61A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204F8"/>
    <w:multiLevelType w:val="multilevel"/>
    <w:tmpl w:val="BDEE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A61209"/>
    <w:multiLevelType w:val="multilevel"/>
    <w:tmpl w:val="0E52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95054A"/>
    <w:multiLevelType w:val="multilevel"/>
    <w:tmpl w:val="464A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4E7297"/>
    <w:multiLevelType w:val="multilevel"/>
    <w:tmpl w:val="AD76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2622EA"/>
    <w:multiLevelType w:val="multilevel"/>
    <w:tmpl w:val="2E98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CA3A75"/>
    <w:multiLevelType w:val="multilevel"/>
    <w:tmpl w:val="C8E2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08031C"/>
    <w:multiLevelType w:val="multilevel"/>
    <w:tmpl w:val="F772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2B53C8"/>
    <w:multiLevelType w:val="multilevel"/>
    <w:tmpl w:val="7640D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371092"/>
    <w:multiLevelType w:val="multilevel"/>
    <w:tmpl w:val="DF56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466667">
    <w:abstractNumId w:val="7"/>
  </w:num>
  <w:num w:numId="2" w16cid:durableId="1611626795">
    <w:abstractNumId w:val="10"/>
  </w:num>
  <w:num w:numId="3" w16cid:durableId="305166197">
    <w:abstractNumId w:val="5"/>
  </w:num>
  <w:num w:numId="4" w16cid:durableId="1478647899">
    <w:abstractNumId w:val="24"/>
  </w:num>
  <w:num w:numId="5" w16cid:durableId="534536336">
    <w:abstractNumId w:val="19"/>
  </w:num>
  <w:num w:numId="6" w16cid:durableId="1783449712">
    <w:abstractNumId w:val="13"/>
  </w:num>
  <w:num w:numId="7" w16cid:durableId="1325477849">
    <w:abstractNumId w:val="20"/>
  </w:num>
  <w:num w:numId="8" w16cid:durableId="1470711571">
    <w:abstractNumId w:val="2"/>
  </w:num>
  <w:num w:numId="9" w16cid:durableId="1506246104">
    <w:abstractNumId w:val="28"/>
  </w:num>
  <w:num w:numId="10" w16cid:durableId="1353192809">
    <w:abstractNumId w:val="8"/>
  </w:num>
  <w:num w:numId="11" w16cid:durableId="1319305375">
    <w:abstractNumId w:val="15"/>
  </w:num>
  <w:num w:numId="12" w16cid:durableId="1444694807">
    <w:abstractNumId w:val="22"/>
  </w:num>
  <w:num w:numId="13" w16cid:durableId="1870292733">
    <w:abstractNumId w:val="23"/>
  </w:num>
  <w:num w:numId="14" w16cid:durableId="1423648862">
    <w:abstractNumId w:val="4"/>
  </w:num>
  <w:num w:numId="15" w16cid:durableId="1484543687">
    <w:abstractNumId w:val="9"/>
  </w:num>
  <w:num w:numId="16" w16cid:durableId="2040466419">
    <w:abstractNumId w:val="14"/>
  </w:num>
  <w:num w:numId="17" w16cid:durableId="221869699">
    <w:abstractNumId w:val="1"/>
  </w:num>
  <w:num w:numId="18" w16cid:durableId="1124618202">
    <w:abstractNumId w:val="0"/>
  </w:num>
  <w:num w:numId="19" w16cid:durableId="462236119">
    <w:abstractNumId w:val="3"/>
  </w:num>
  <w:num w:numId="20" w16cid:durableId="1165896188">
    <w:abstractNumId w:val="26"/>
  </w:num>
  <w:num w:numId="21" w16cid:durableId="333454343">
    <w:abstractNumId w:val="18"/>
  </w:num>
  <w:num w:numId="22" w16cid:durableId="102191701">
    <w:abstractNumId w:val="16"/>
  </w:num>
  <w:num w:numId="23" w16cid:durableId="73598154">
    <w:abstractNumId w:val="21"/>
  </w:num>
  <w:num w:numId="24" w16cid:durableId="2051563327">
    <w:abstractNumId w:val="29"/>
  </w:num>
  <w:num w:numId="25" w16cid:durableId="344330211">
    <w:abstractNumId w:val="6"/>
  </w:num>
  <w:num w:numId="26" w16cid:durableId="366296510">
    <w:abstractNumId w:val="11"/>
  </w:num>
  <w:num w:numId="27" w16cid:durableId="1085610224">
    <w:abstractNumId w:val="25"/>
  </w:num>
  <w:num w:numId="28" w16cid:durableId="1097990169">
    <w:abstractNumId w:val="27"/>
  </w:num>
  <w:num w:numId="29" w16cid:durableId="37513621">
    <w:abstractNumId w:val="17"/>
  </w:num>
  <w:num w:numId="30" w16cid:durableId="10451756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51"/>
    <w:rsid w:val="001B6CD1"/>
    <w:rsid w:val="002034E4"/>
    <w:rsid w:val="002F6F1C"/>
    <w:rsid w:val="00362751"/>
    <w:rsid w:val="004F38DD"/>
    <w:rsid w:val="00781770"/>
    <w:rsid w:val="00BC0FF5"/>
    <w:rsid w:val="00D47528"/>
    <w:rsid w:val="00FB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0C2FB"/>
  <w15:chartTrackingRefBased/>
  <w15:docId w15:val="{D291DA78-D3EA-8F44-AF2F-50E3149C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62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627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27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27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27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7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7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7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7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627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627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27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27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27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7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7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751"/>
    <w:rPr>
      <w:rFonts w:eastAsiaTheme="majorEastAsia" w:cstheme="majorBidi"/>
      <w:color w:val="272727" w:themeColor="text1" w:themeTint="D8"/>
    </w:rPr>
  </w:style>
  <w:style w:type="paragraph" w:styleId="Title">
    <w:name w:val="Title"/>
    <w:basedOn w:val="Normal"/>
    <w:next w:val="Normal"/>
    <w:link w:val="TitleChar"/>
    <w:uiPriority w:val="10"/>
    <w:qFormat/>
    <w:rsid w:val="00362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7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7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7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751"/>
    <w:pPr>
      <w:spacing w:before="160"/>
      <w:jc w:val="center"/>
    </w:pPr>
    <w:rPr>
      <w:i/>
      <w:iCs/>
      <w:color w:val="404040" w:themeColor="text1" w:themeTint="BF"/>
    </w:rPr>
  </w:style>
  <w:style w:type="character" w:customStyle="1" w:styleId="QuoteChar">
    <w:name w:val="Quote Char"/>
    <w:basedOn w:val="DefaultParagraphFont"/>
    <w:link w:val="Quote"/>
    <w:uiPriority w:val="29"/>
    <w:rsid w:val="00362751"/>
    <w:rPr>
      <w:i/>
      <w:iCs/>
      <w:color w:val="404040" w:themeColor="text1" w:themeTint="BF"/>
    </w:rPr>
  </w:style>
  <w:style w:type="paragraph" w:styleId="ListParagraph">
    <w:name w:val="List Paragraph"/>
    <w:basedOn w:val="Normal"/>
    <w:uiPriority w:val="34"/>
    <w:qFormat/>
    <w:rsid w:val="00362751"/>
    <w:pPr>
      <w:ind w:left="720"/>
      <w:contextualSpacing/>
    </w:pPr>
  </w:style>
  <w:style w:type="character" w:styleId="IntenseEmphasis">
    <w:name w:val="Intense Emphasis"/>
    <w:basedOn w:val="DefaultParagraphFont"/>
    <w:uiPriority w:val="21"/>
    <w:qFormat/>
    <w:rsid w:val="00362751"/>
    <w:rPr>
      <w:i/>
      <w:iCs/>
      <w:color w:val="2F5496" w:themeColor="accent1" w:themeShade="BF"/>
    </w:rPr>
  </w:style>
  <w:style w:type="paragraph" w:styleId="IntenseQuote">
    <w:name w:val="Intense Quote"/>
    <w:basedOn w:val="Normal"/>
    <w:next w:val="Normal"/>
    <w:link w:val="IntenseQuoteChar"/>
    <w:uiPriority w:val="30"/>
    <w:qFormat/>
    <w:rsid w:val="00362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2751"/>
    <w:rPr>
      <w:i/>
      <w:iCs/>
      <w:color w:val="2F5496" w:themeColor="accent1" w:themeShade="BF"/>
    </w:rPr>
  </w:style>
  <w:style w:type="character" w:styleId="IntenseReference">
    <w:name w:val="Intense Reference"/>
    <w:basedOn w:val="DefaultParagraphFont"/>
    <w:uiPriority w:val="32"/>
    <w:qFormat/>
    <w:rsid w:val="00362751"/>
    <w:rPr>
      <w:b/>
      <w:bCs/>
      <w:smallCaps/>
      <w:color w:val="2F5496" w:themeColor="accent1" w:themeShade="BF"/>
      <w:spacing w:val="5"/>
    </w:rPr>
  </w:style>
  <w:style w:type="paragraph" w:styleId="NormalWeb">
    <w:name w:val="Normal (Web)"/>
    <w:basedOn w:val="Normal"/>
    <w:uiPriority w:val="99"/>
    <w:unhideWhenUsed/>
    <w:rsid w:val="0036275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62751"/>
    <w:rPr>
      <w:b/>
      <w:bCs/>
    </w:rPr>
  </w:style>
  <w:style w:type="character" w:styleId="Hyperlink">
    <w:name w:val="Hyperlink"/>
    <w:basedOn w:val="DefaultParagraphFont"/>
    <w:uiPriority w:val="99"/>
    <w:unhideWhenUsed/>
    <w:rsid w:val="00362751"/>
    <w:rPr>
      <w:color w:val="0563C1" w:themeColor="hyperlink"/>
      <w:u w:val="single"/>
    </w:rPr>
  </w:style>
  <w:style w:type="character" w:styleId="UnresolvedMention">
    <w:name w:val="Unresolved Mention"/>
    <w:basedOn w:val="DefaultParagraphFont"/>
    <w:uiPriority w:val="99"/>
    <w:semiHidden/>
    <w:unhideWhenUsed/>
    <w:rsid w:val="00362751"/>
    <w:rPr>
      <w:color w:val="605E5C"/>
      <w:shd w:val="clear" w:color="auto" w:fill="E1DFDD"/>
    </w:rPr>
  </w:style>
  <w:style w:type="character" w:styleId="Emphasis">
    <w:name w:val="Emphasis"/>
    <w:basedOn w:val="DefaultParagraphFont"/>
    <w:uiPriority w:val="20"/>
    <w:qFormat/>
    <w:rsid w:val="00362751"/>
    <w:rPr>
      <w:i/>
      <w:iCs/>
    </w:rPr>
  </w:style>
  <w:style w:type="paragraph" w:styleId="z-TopofForm">
    <w:name w:val="HTML Top of Form"/>
    <w:basedOn w:val="Normal"/>
    <w:next w:val="Normal"/>
    <w:link w:val="z-TopofFormChar"/>
    <w:hidden/>
    <w:uiPriority w:val="99"/>
    <w:semiHidden/>
    <w:unhideWhenUsed/>
    <w:rsid w:val="00362751"/>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362751"/>
    <w:rPr>
      <w:rFonts w:ascii="Arial" w:eastAsia="Times New Roman" w:hAnsi="Arial" w:cs="Arial"/>
      <w:vanish/>
      <w:kern w:val="0"/>
      <w:sz w:val="16"/>
      <w:szCs w:val="16"/>
      <w14:ligatures w14:val="none"/>
    </w:rPr>
  </w:style>
  <w:style w:type="paragraph" w:customStyle="1" w:styleId="placeholder">
    <w:name w:val="placeholder"/>
    <w:basedOn w:val="Normal"/>
    <w:rsid w:val="0036275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362751"/>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362751"/>
    <w:rPr>
      <w:rFonts w:ascii="Arial" w:eastAsia="Times New Roman" w:hAnsi="Arial" w:cs="Arial"/>
      <w:vanish/>
      <w:kern w:val="0"/>
      <w:sz w:val="16"/>
      <w:szCs w:val="16"/>
      <w14:ligatures w14:val="none"/>
    </w:rPr>
  </w:style>
  <w:style w:type="paragraph" w:styleId="FootnoteText">
    <w:name w:val="footnote text"/>
    <w:basedOn w:val="Normal"/>
    <w:link w:val="FootnoteTextChar"/>
    <w:uiPriority w:val="99"/>
    <w:semiHidden/>
    <w:unhideWhenUsed/>
    <w:rsid w:val="003627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2751"/>
    <w:rPr>
      <w:sz w:val="20"/>
      <w:szCs w:val="20"/>
    </w:rPr>
  </w:style>
  <w:style w:type="character" w:styleId="FootnoteReference">
    <w:name w:val="footnote reference"/>
    <w:basedOn w:val="DefaultParagraphFont"/>
    <w:uiPriority w:val="99"/>
    <w:semiHidden/>
    <w:unhideWhenUsed/>
    <w:rsid w:val="00362751"/>
    <w:rPr>
      <w:vertAlign w:val="superscript"/>
    </w:rPr>
  </w:style>
  <w:style w:type="paragraph" w:styleId="Header">
    <w:name w:val="header"/>
    <w:basedOn w:val="Normal"/>
    <w:link w:val="HeaderChar"/>
    <w:uiPriority w:val="99"/>
    <w:unhideWhenUsed/>
    <w:rsid w:val="00362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751"/>
  </w:style>
  <w:style w:type="paragraph" w:styleId="Footer">
    <w:name w:val="footer"/>
    <w:basedOn w:val="Normal"/>
    <w:link w:val="FooterChar"/>
    <w:uiPriority w:val="99"/>
    <w:unhideWhenUsed/>
    <w:rsid w:val="00362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751"/>
  </w:style>
  <w:style w:type="paragraph" w:styleId="Revision">
    <w:name w:val="Revision"/>
    <w:hidden/>
    <w:uiPriority w:val="99"/>
    <w:semiHidden/>
    <w:rsid w:val="007817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iia.org/globalassets/site/content/position-papers/2024/iia-global-public-policy-position-paper---french.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iia.org/globalassets/documents/resources/the-iias-three-lines-model-an-update-of-the-three-lines-of-defense-july-2020/three-lines-model-updated-french.pdf"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fr/publications/panorama-des-administrations-publiques-2025_758a7905-fr/full-report/levels-of-trust-in-public-institutions_62a3b94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134CB-81F5-F243-A593-0C67FCC1C6A5}">
  <ds:schemaRefs>
    <ds:schemaRef ds:uri="http://schemas.openxmlformats.org/officeDocument/2006/bibliography"/>
  </ds:schemaRefs>
</ds:datastoreItem>
</file>

<file path=docMetadata/LabelInfo.xml><?xml version="1.0" encoding="utf-8"?>
<clbl:labelList xmlns:clbl="http://schemas.microsoft.com/office/2020/mipLabelMetadata">
  <clbl:label id="{df3268f7-866f-4eea-99f8-53a3c2e3e512}" enabled="1" method="Standard" siteId="{9c13349f-deb7-4d9c-aaaa-3bda03a2f92c}" contentBits="0" removed="0"/>
</clbl:labelList>
</file>

<file path=docProps/app.xml><?xml version="1.0" encoding="utf-8"?>
<Properties xmlns="http://schemas.openxmlformats.org/officeDocument/2006/extended-properties" xmlns:vt="http://schemas.openxmlformats.org/officeDocument/2006/docPropsVTypes">
  <Template>Normal.dotm</Template>
  <TotalTime>133</TotalTime>
  <Pages>36</Pages>
  <Words>18346</Words>
  <Characters>92832</Characters>
  <Application>Microsoft Office Word</Application>
  <DocSecurity>0</DocSecurity>
  <Lines>2380</Lines>
  <Paragraphs>1710</Paragraphs>
  <ScaleCrop>false</ScaleCrop>
  <Company/>
  <LinksUpToDate>false</LinksUpToDate>
  <CharactersWithSpaces>109468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 Young</dc:creator>
  <cp:keywords/>
  <dc:description/>
  <cp:lastModifiedBy>Mat Young</cp:lastModifiedBy>
  <cp:revision>2</cp:revision>
  <dcterms:created xsi:type="dcterms:W3CDTF">2026-07-01T20:39:00Z</dcterms:created>
  <dcterms:modified xsi:type="dcterms:W3CDTF">2026-07-08T16:28:00Z</dcterms:modified>
</cp:coreProperties>
</file>